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29bis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502729</w:t>
      </w:r>
      <w:bookmarkStart w:id="0" w:name="_GoBack"/>
      <w:bookmarkEnd w:id="0"/>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Wuhan, China, 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 2025</w:t>
      </w:r>
    </w:p>
    <w:p w14:paraId="0B32D4D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14:paraId="0AFEC942">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2A808A9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LCM for UE-sided model for BM based on RAN1 reply LS [2]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053C522B">
      <w:pPr>
        <w:pStyle w:val="25"/>
        <w:pBdr>
          <w:top w:val="single" w:color="auto" w:sz="4" w:space="1"/>
          <w:left w:val="single" w:color="auto" w:sz="4" w:space="1"/>
          <w:bottom w:val="single" w:color="auto" w:sz="4" w:space="1"/>
          <w:right w:val="single" w:color="auto" w:sz="4" w:space="1"/>
        </w:pBdr>
        <w:rPr>
          <w:rFonts w:hint="default" w:ascii="Arial" w:hAnsi="Arial" w:cs="Arial"/>
          <w:b/>
          <w:bCs/>
          <w:sz w:val="20"/>
          <w:szCs w:val="20"/>
        </w:rPr>
      </w:pPr>
      <w:r>
        <w:rPr>
          <w:rFonts w:hint="default" w:ascii="Arial" w:hAnsi="Arial" w:cs="Arial"/>
          <w:b/>
          <w:bCs/>
          <w:sz w:val="20"/>
          <w:szCs w:val="20"/>
        </w:rPr>
        <w:t>Agreements</w:t>
      </w:r>
    </w:p>
    <w:p w14:paraId="2B91A283">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eastAsia="MS Mincho" w:cs="Arial"/>
          <w:bCs/>
          <w:sz w:val="20"/>
          <w:szCs w:val="20"/>
        </w:rPr>
      </w:pPr>
      <w:r>
        <w:rPr>
          <w:rFonts w:hint="default" w:ascii="Arial" w:hAnsi="Arial" w:cs="Arial"/>
          <w:b w:val="0"/>
          <w:bCs/>
          <w:sz w:val="20"/>
          <w:szCs w:val="20"/>
          <w:lang w:val="en-GB" w:eastAsia="en-US"/>
        </w:rPr>
        <w:t xml:space="preserve">Inference </w:t>
      </w:r>
      <w:r>
        <w:rPr>
          <w:rFonts w:hint="default" w:ascii="Arial" w:hAnsi="Arial" w:eastAsia="Batang" w:cs="Arial"/>
          <w:b w:val="0"/>
          <w:bCs/>
          <w:kern w:val="0"/>
          <w:sz w:val="20"/>
          <w:szCs w:val="20"/>
          <w:lang w:val="en-GB" w:eastAsia="en-US" w:bidi="ar-SA"/>
        </w:rPr>
        <w:t xml:space="preserve">configuration/parameters can be signalled in step 3 and/or Inference configuration can be signalled in step 5 (i.e. option a and option b from RAN1).  </w:t>
      </w:r>
      <w:r>
        <w:rPr>
          <w:rFonts w:hint="default" w:ascii="Arial" w:hAnsi="Arial" w:eastAsia="MS Mincho" w:cs="Arial"/>
          <w:bCs/>
          <w:sz w:val="20"/>
          <w:szCs w:val="20"/>
        </w:rPr>
        <w:t xml:space="preserve"> </w:t>
      </w:r>
    </w:p>
    <w:p w14:paraId="13E41EC6">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 xml:space="preserve">The full inference configuration is sent in CSI-ReportConfig. </w:t>
      </w:r>
    </w:p>
    <w:p w14:paraId="573E4C83">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Upon receiving a full inference configuration, the UE sends the</w:t>
      </w:r>
      <w:r>
        <w:rPr>
          <w:rFonts w:hint="default" w:ascii="Arial" w:hAnsi="Arial" w:cs="Arial"/>
          <w:b w:val="0"/>
          <w:bCs/>
          <w:sz w:val="20"/>
          <w:szCs w:val="20"/>
          <w:highlight w:val="none"/>
        </w:rPr>
        <w:t xml:space="preserve"> initial applicability report in RRCReconfigurationComplete</w:t>
      </w:r>
      <w:r>
        <w:rPr>
          <w:rFonts w:hint="default" w:ascii="Arial" w:hAnsi="Arial" w:cs="Arial"/>
          <w:b w:val="0"/>
          <w:bCs/>
          <w:sz w:val="20"/>
          <w:szCs w:val="20"/>
        </w:rPr>
        <w:t>. UAI can be sent to update applicability.</w:t>
      </w:r>
    </w:p>
    <w:p w14:paraId="51A92DC0">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FFS signaling details for option B (e.g. whether it is signaling in CSI-Report Config or otherconfig)</w:t>
      </w:r>
    </w:p>
    <w:p w14:paraId="7B40DE7B">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 xml:space="preserve">Support the explicit reporting of applicability/inapplicability in initial report and subsequent reporting it reports only applicability it changed.   FFS if we report explicit cause </w:t>
      </w:r>
    </w:p>
    <w:p w14:paraId="51D920BD">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7B4B1805">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 xml:space="preserve">The provided periodic CSI configuration should be consistent with reported UE capabilities </w:t>
      </w:r>
    </w:p>
    <w:p w14:paraId="72F46A5E">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FFS option B</w:t>
      </w:r>
    </w:p>
    <w:p w14:paraId="1557CD41">
      <w:pPr>
        <w:pStyle w:val="32"/>
        <w:numPr>
          <w:ilvl w:val="0"/>
          <w:numId w:val="6"/>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0"/>
        </w:rPr>
      </w:pPr>
      <w:r>
        <w:rPr>
          <w:rFonts w:hint="default" w:ascii="Arial" w:hAnsi="Arial" w:cs="Arial"/>
          <w:b w:val="0"/>
          <w:bCs/>
          <w:sz w:val="20"/>
          <w:szCs w:val="20"/>
        </w:rPr>
        <w:t>Semi-persistent and aperiodic CSI reporting of applicable functionality is activated following legacy CSI framework:</w:t>
      </w:r>
    </w:p>
    <w:p w14:paraId="2BE8E9D2">
      <w:pPr>
        <w:pStyle w:val="32"/>
        <w:numPr>
          <w:ilvl w:val="0"/>
          <w:numId w:val="0"/>
        </w:numPr>
        <w:pBdr>
          <w:top w:val="single" w:color="auto" w:sz="4" w:space="1"/>
          <w:left w:val="single" w:color="auto" w:sz="4" w:space="1"/>
          <w:bottom w:val="single" w:color="auto" w:sz="4" w:space="1"/>
          <w:right w:val="single" w:color="auto" w:sz="4" w:space="1"/>
        </w:pBdr>
        <w:tabs>
          <w:tab w:val="left" w:pos="1352"/>
          <w:tab w:val="clear" w:pos="1619"/>
        </w:tabs>
        <w:ind w:left="1259" w:leftChars="0" w:firstLine="400" w:firstLineChars="200"/>
        <w:rPr>
          <w:rFonts w:hint="default" w:ascii="Arial" w:hAnsi="Arial" w:cs="Arial"/>
          <w:b w:val="0"/>
          <w:bCs/>
          <w:sz w:val="20"/>
          <w:szCs w:val="20"/>
        </w:rPr>
      </w:pPr>
      <w:r>
        <w:rPr>
          <w:rFonts w:hint="default" w:ascii="Arial" w:hAnsi="Arial" w:cs="Arial"/>
          <w:b w:val="0"/>
          <w:bCs/>
          <w:sz w:val="20"/>
          <w:szCs w:val="20"/>
        </w:rPr>
        <w:t>Semi-persistent reporting, activated by MAC CE/DCI</w:t>
      </w:r>
    </w:p>
    <w:p w14:paraId="481C23F8">
      <w:pPr>
        <w:pStyle w:val="32"/>
        <w:numPr>
          <w:ilvl w:val="0"/>
          <w:numId w:val="0"/>
        </w:numPr>
        <w:pBdr>
          <w:top w:val="single" w:color="auto" w:sz="4" w:space="1"/>
          <w:left w:val="single" w:color="auto" w:sz="4" w:space="1"/>
          <w:bottom w:val="single" w:color="auto" w:sz="4" w:space="1"/>
          <w:right w:val="single" w:color="auto" w:sz="4" w:space="1"/>
        </w:pBdr>
        <w:tabs>
          <w:tab w:val="left" w:pos="1352"/>
          <w:tab w:val="clear" w:pos="1619"/>
        </w:tabs>
        <w:ind w:left="1259" w:leftChars="0" w:firstLine="400" w:firstLineChars="200"/>
        <w:rPr>
          <w:rFonts w:hint="default" w:ascii="Arial" w:hAnsi="Arial" w:cs="Arial"/>
          <w:b w:val="0"/>
          <w:bCs/>
          <w:sz w:val="20"/>
          <w:szCs w:val="20"/>
        </w:rPr>
      </w:pPr>
      <w:r>
        <w:rPr>
          <w:rFonts w:hint="default" w:ascii="Arial" w:hAnsi="Arial" w:cs="Arial"/>
          <w:b w:val="0"/>
          <w:bCs/>
          <w:sz w:val="20"/>
          <w:szCs w:val="20"/>
        </w:rPr>
        <w:t>Aperiodic CSI reporting, activated by DCI</w:t>
      </w:r>
    </w:p>
    <w:p w14:paraId="2440A207">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cs="Arial"/>
          <w:sz w:val="20"/>
          <w:szCs w:val="20"/>
          <w:lang w:val="en-US" w:eastAsia="zh-CN"/>
        </w:rPr>
        <w:t>discuss</w:t>
      </w:r>
      <w:r>
        <w:rPr>
          <w:rFonts w:hint="eastAsia" w:ascii="Arial" w:hAnsi="Arial" w:eastAsia="宋体" w:cs="Arial"/>
          <w:kern w:val="0"/>
          <w:sz w:val="20"/>
          <w:szCs w:val="20"/>
          <w:lang w:val="en-US" w:eastAsia="zh-CN"/>
        </w:rPr>
        <w:t xml:space="preserv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remaining issues on </w:t>
      </w:r>
      <w:r>
        <w:rPr>
          <w:rFonts w:hint="eastAsia" w:ascii="Arial" w:hAnsi="Arial" w:eastAsia="宋体" w:cs="Arial"/>
          <w:i w:val="0"/>
          <w:iCs/>
          <w:sz w:val="20"/>
          <w:szCs w:val="21"/>
          <w:lang w:val="en-US" w:eastAsia="zh-CN"/>
        </w:rPr>
        <w:t>UE</w:t>
      </w:r>
      <w:r>
        <w:rPr>
          <w:rFonts w:hint="eastAsia" w:ascii="Arial" w:hAnsi="Arial" w:eastAsia="宋体" w:cs="Arial"/>
          <w:kern w:val="0"/>
          <w:sz w:val="20"/>
          <w:szCs w:val="20"/>
          <w:lang w:val="en-US" w:eastAsia="zh-CN"/>
        </w:rPr>
        <w:t>-sided model LCM for beam management use case</w:t>
      </w:r>
      <w:r>
        <w:rPr>
          <w:rFonts w:ascii="Arial" w:hAnsi="Arial" w:eastAsia="宋体" w:cs="Arial"/>
          <w:kern w:val="0"/>
          <w:sz w:val="20"/>
          <w:szCs w:val="20"/>
          <w:lang w:val="en-GB"/>
        </w:rPr>
        <w:t>.</w:t>
      </w:r>
    </w:p>
    <w:p w14:paraId="76131D78">
      <w:pPr>
        <w:keepNext/>
        <w:keepLines/>
        <w:widowControl/>
        <w:numPr>
          <w:ilvl w:val="0"/>
          <w:numId w:val="7"/>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EE4F4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Applicable functionality reporting</w:t>
      </w:r>
    </w:p>
    <w:p w14:paraId="10BCDA5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FFS on option A and B</w:t>
      </w:r>
    </w:p>
    <w:p w14:paraId="397D056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In RAN1 reply LS [2], RAN1 indicated that the applicability report is based A) and/or B), which means A) and B) can be supported/configured at the same time. In last meeting, RAN2 agreed signaling details for option A and FFS for option B. From the perspective of RAN2, we think that both option A and option B can be supported, and how to configure is up to NW implementation.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224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7CC6F5C5">
            <w:pPr>
              <w:spacing w:after="0"/>
              <w:rPr>
                <w:rFonts w:hint="default" w:ascii="Arial" w:hAnsi="Arial" w:eastAsia="等线" w:cs="Arial"/>
                <w:sz w:val="20"/>
                <w:szCs w:val="21"/>
                <w:highlight w:val="green"/>
                <w:lang w:eastAsia="zh-CN"/>
              </w:rPr>
            </w:pPr>
            <w:r>
              <w:rPr>
                <w:rFonts w:hint="default" w:ascii="Arial" w:hAnsi="Arial" w:eastAsia="等线" w:cs="Arial"/>
                <w:sz w:val="20"/>
                <w:szCs w:val="21"/>
                <w:highlight w:val="green"/>
                <w:lang w:eastAsia="zh-CN"/>
              </w:rPr>
              <w:t>Agreement</w:t>
            </w:r>
          </w:p>
          <w:p w14:paraId="77CF7E86">
            <w:pPr>
              <w:numPr>
                <w:ilvl w:val="0"/>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In Step 3, following configurations are provided from NW to UE:</w:t>
            </w:r>
          </w:p>
          <w:p w14:paraId="6E35D389">
            <w:pPr>
              <w:numPr>
                <w:ilvl w:val="1"/>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UE is allowed to do UAI reporting via </w:t>
            </w:r>
            <w:r>
              <w:rPr>
                <w:rFonts w:hint="default" w:ascii="Arial" w:hAnsi="Arial" w:eastAsia="Times New Roman" w:cs="Arial"/>
                <w:i/>
                <w:iCs/>
                <w:sz w:val="20"/>
                <w:szCs w:val="21"/>
                <w:lang w:eastAsia="zh-CN"/>
              </w:rPr>
              <w:t>OtherConfig,</w:t>
            </w:r>
          </w:p>
          <w:p w14:paraId="171D9972">
            <w:pPr>
              <w:numPr>
                <w:ilvl w:val="1"/>
                <w:numId w:val="8"/>
              </w:numPr>
              <w:adjustRightInd w:val="0"/>
              <w:snapToGrid w:val="0"/>
              <w:spacing w:after="0" w:line="240" w:lineRule="auto"/>
              <w:rPr>
                <w:rFonts w:hint="default" w:ascii="Arial" w:hAnsi="Arial" w:eastAsia="Times New Roman" w:cs="Arial"/>
                <w:sz w:val="20"/>
                <w:szCs w:val="21"/>
                <w:highlight w:val="yellow"/>
                <w:lang w:eastAsia="zh-CN"/>
              </w:rPr>
            </w:pPr>
            <w:r>
              <w:rPr>
                <w:rFonts w:hint="default" w:ascii="Arial" w:hAnsi="Arial" w:eastAsia="Times New Roman" w:cs="Arial"/>
                <w:sz w:val="20"/>
                <w:szCs w:val="21"/>
                <w:highlight w:val="yellow"/>
                <w:lang w:eastAsia="zh-CN"/>
              </w:rPr>
              <w:t xml:space="preserve">The applicability report is based on A) and/or B) </w:t>
            </w:r>
          </w:p>
          <w:p w14:paraId="2473AD84">
            <w:pPr>
              <w:numPr>
                <w:ilvl w:val="2"/>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 xml:space="preserve">It is up to RAN 2 to design the container </w:t>
            </w:r>
          </w:p>
          <w:p w14:paraId="2A8A2697">
            <w:pPr>
              <w:numPr>
                <w:ilvl w:val="2"/>
                <w:numId w:val="8"/>
              </w:numPr>
              <w:adjustRightInd w:val="0"/>
              <w:snapToGrid w:val="0"/>
              <w:spacing w:after="0" w:line="240" w:lineRule="auto"/>
              <w:rPr>
                <w:rFonts w:hint="default" w:ascii="Arial" w:hAnsi="Arial" w:eastAsia="Times New Roman" w:cs="Arial"/>
                <w:sz w:val="20"/>
                <w:szCs w:val="21"/>
                <w:highlight w:val="yellow"/>
                <w:lang w:eastAsia="zh-CN"/>
              </w:rPr>
            </w:pPr>
            <w:r>
              <w:rPr>
                <w:rFonts w:hint="default" w:ascii="Arial" w:hAnsi="Arial" w:eastAsia="Times New Roman" w:cs="Arial"/>
                <w:sz w:val="20"/>
                <w:szCs w:val="21"/>
                <w:highlight w:val="yellow"/>
                <w:lang w:eastAsia="zh-CN"/>
              </w:rPr>
              <w:t>A) one or more of </w:t>
            </w:r>
            <w:r>
              <w:rPr>
                <w:rFonts w:hint="default" w:ascii="Arial" w:hAnsi="Arial" w:eastAsia="Times New Roman" w:cs="Arial"/>
                <w:i/>
                <w:iCs/>
                <w:sz w:val="20"/>
                <w:szCs w:val="21"/>
                <w:highlight w:val="yellow"/>
                <w:lang w:eastAsia="zh-CN"/>
              </w:rPr>
              <w:t>CSI-ReportConfig</w:t>
            </w:r>
            <w:r>
              <w:rPr>
                <w:rFonts w:hint="default" w:ascii="Arial" w:hAnsi="Arial" w:eastAsia="Times New Roman" w:cs="Arial"/>
                <w:sz w:val="20"/>
                <w:szCs w:val="21"/>
                <w:highlight w:val="yellow"/>
                <w:lang w:eastAsia="zh-CN"/>
              </w:rPr>
              <w:t xml:space="preserve"> for inference configuration</w:t>
            </w:r>
            <w:r>
              <w:rPr>
                <w:rFonts w:hint="default" w:ascii="Arial" w:hAnsi="Arial" w:eastAsia="Times New Roman" w:cs="Arial"/>
                <w:i/>
                <w:iCs/>
                <w:sz w:val="20"/>
                <w:szCs w:val="21"/>
                <w:highlight w:val="yellow"/>
                <w:lang w:eastAsia="zh-CN"/>
              </w:rPr>
              <w:t> </w:t>
            </w:r>
            <w:r>
              <w:rPr>
                <w:rFonts w:hint="default" w:ascii="Arial" w:hAnsi="Arial" w:eastAsia="Times New Roman" w:cs="Arial"/>
                <w:sz w:val="20"/>
                <w:szCs w:val="21"/>
                <w:highlight w:val="yellow"/>
                <w:lang w:eastAsia="zh-CN"/>
              </w:rPr>
              <w:t>(wherein the associated ID may be configured in CSI framework as working assumption applied)</w:t>
            </w:r>
            <w:r>
              <w:rPr>
                <w:rFonts w:hint="default" w:ascii="Arial" w:hAnsi="Arial" w:eastAsia="Times New Roman" w:cs="Arial"/>
                <w:i/>
                <w:iCs/>
                <w:sz w:val="20"/>
                <w:szCs w:val="21"/>
                <w:highlight w:val="yellow"/>
                <w:lang w:eastAsia="zh-CN"/>
              </w:rPr>
              <w:t xml:space="preserve"> </w:t>
            </w:r>
          </w:p>
          <w:p w14:paraId="00A66ABB">
            <w:pPr>
              <w:numPr>
                <w:ilvl w:val="3"/>
                <w:numId w:val="8"/>
              </w:numPr>
              <w:adjustRightInd w:val="0"/>
              <w:snapToGrid w:val="0"/>
              <w:spacing w:after="0" w:line="240" w:lineRule="auto"/>
              <w:rPr>
                <w:rFonts w:hint="default" w:ascii="Arial" w:hAnsi="Arial" w:eastAsia="等线" w:cs="Arial"/>
                <w:sz w:val="20"/>
                <w:szCs w:val="21"/>
                <w:lang w:eastAsia="de-DE"/>
              </w:rPr>
            </w:pPr>
            <w:r>
              <w:rPr>
                <w:rFonts w:hint="default" w:ascii="Arial" w:hAnsi="Arial" w:cs="Arial"/>
                <w:sz w:val="20"/>
                <w:szCs w:val="21"/>
              </w:rPr>
              <w:t xml:space="preserve">Note: </w:t>
            </w:r>
            <w:r>
              <w:rPr>
                <w:rFonts w:hint="default" w:ascii="Arial" w:hAnsi="Arial" w:cs="Arial"/>
                <w:sz w:val="20"/>
                <w:szCs w:val="21"/>
                <w:lang w:eastAsia="de-DE"/>
              </w:rPr>
              <w:t xml:space="preserve">CSI report </w:t>
            </w:r>
            <w:r>
              <w:rPr>
                <w:rFonts w:hint="default" w:ascii="Arial" w:hAnsi="Arial" w:cs="Arial"/>
                <w:sz w:val="20"/>
                <w:szCs w:val="21"/>
              </w:rPr>
              <w:t xml:space="preserve">configuration </w:t>
            </w:r>
            <w:r>
              <w:rPr>
                <w:rFonts w:hint="default" w:ascii="Arial" w:hAnsi="Arial" w:cs="Arial"/>
                <w:sz w:val="20"/>
                <w:szCs w:val="21"/>
                <w:lang w:eastAsia="de-DE"/>
              </w:rPr>
              <w:t>for UE-side model inference can</w:t>
            </w:r>
            <w:r>
              <w:rPr>
                <w:rFonts w:hint="default" w:ascii="Arial" w:hAnsi="Arial" w:cs="Arial"/>
                <w:sz w:val="20"/>
                <w:szCs w:val="21"/>
              </w:rPr>
              <w:t>’t</w:t>
            </w:r>
            <w:r>
              <w:rPr>
                <w:rFonts w:hint="default" w:ascii="Arial" w:hAnsi="Arial" w:cs="Arial"/>
                <w:sz w:val="20"/>
                <w:szCs w:val="21"/>
                <w:lang w:eastAsia="de-DE"/>
              </w:rPr>
              <w:t xml:space="preserve"> be activated immediately upon receiving Step 3</w:t>
            </w:r>
          </w:p>
          <w:p w14:paraId="6B11BEA8">
            <w:pPr>
              <w:numPr>
                <w:ilvl w:val="2"/>
                <w:numId w:val="8"/>
              </w:numPr>
              <w:adjustRightInd w:val="0"/>
              <w:snapToGrid w:val="0"/>
              <w:spacing w:after="0" w:line="240" w:lineRule="auto"/>
              <w:rPr>
                <w:rFonts w:hint="default" w:ascii="Arial" w:hAnsi="Arial" w:eastAsia="Times New Roman" w:cs="Arial"/>
                <w:sz w:val="20"/>
                <w:szCs w:val="21"/>
                <w:highlight w:val="yellow"/>
                <w:lang w:eastAsia="zh-CN"/>
              </w:rPr>
            </w:pPr>
            <w:r>
              <w:rPr>
                <w:rFonts w:hint="default" w:ascii="Arial" w:hAnsi="Arial" w:eastAsia="Times New Roman" w:cs="Arial"/>
                <w:sz w:val="20"/>
                <w:szCs w:val="21"/>
                <w:highlight w:val="yellow"/>
                <w:lang w:eastAsia="zh-CN"/>
              </w:rPr>
              <w:t>B) One set or multiple sets of inference related parameters for applicability report only (not for inference)</w:t>
            </w:r>
          </w:p>
          <w:p w14:paraId="55E84DB1">
            <w:pPr>
              <w:numPr>
                <w:ilvl w:val="3"/>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rPr>
              <w:t>It is up to RAN2 to design the container.</w:t>
            </w:r>
          </w:p>
          <w:p w14:paraId="493B90DC">
            <w:pPr>
              <w:numPr>
                <w:ilvl w:val="3"/>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rPr>
              <w:t xml:space="preserve">The set of inference related parameters selected from the IEs in/or the IEs referred by </w:t>
            </w:r>
            <w:r>
              <w:rPr>
                <w:rFonts w:hint="default" w:ascii="Arial" w:hAnsi="Arial" w:eastAsia="Times New Roman" w:cs="Arial"/>
                <w:i/>
                <w:iCs/>
                <w:sz w:val="20"/>
                <w:szCs w:val="21"/>
              </w:rPr>
              <w:t>CSI-ReportConfig</w:t>
            </w:r>
            <w:r>
              <w:rPr>
                <w:rFonts w:hint="default" w:ascii="Arial" w:hAnsi="Arial" w:eastAsia="Times New Roman" w:cs="Arial"/>
                <w:sz w:val="20"/>
                <w:szCs w:val="21"/>
              </w:rPr>
              <w:t xml:space="preserve"> as a starting point, e.g., </w:t>
            </w:r>
          </w:p>
          <w:p w14:paraId="3B072130">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the associated ID</w:t>
            </w:r>
          </w:p>
          <w:p w14:paraId="3DB983AE">
            <w:pPr>
              <w:numPr>
                <w:ilvl w:val="5"/>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 xml:space="preserve">Note: this doesn’t imply the associated ID is mandatory </w:t>
            </w:r>
          </w:p>
          <w:p w14:paraId="5552D062">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Set A related information</w:t>
            </w:r>
          </w:p>
          <w:p w14:paraId="32F30915">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Set B related information</w:t>
            </w:r>
          </w:p>
          <w:p w14:paraId="6C338868">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Report content related information </w:t>
            </w:r>
          </w:p>
          <w:p w14:paraId="24472AD6">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For BM-Case 2, </w:t>
            </w:r>
          </w:p>
          <w:p w14:paraId="6C32DC4E">
            <w:pPr>
              <w:numPr>
                <w:ilvl w:val="5"/>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Time instances related information for measurements</w:t>
            </w:r>
          </w:p>
          <w:p w14:paraId="59B2B526">
            <w:pPr>
              <w:numPr>
                <w:ilvl w:val="5"/>
                <w:numId w:val="8"/>
              </w:numPr>
              <w:adjustRightInd w:val="0"/>
              <w:snapToGrid w:val="0"/>
              <w:spacing w:after="0" w:line="240" w:lineRule="auto"/>
              <w:rPr>
                <w:rFonts w:hint="default" w:ascii="Arial" w:hAnsi="Arial" w:cs="Arial"/>
                <w:sz w:val="20"/>
                <w:szCs w:val="20"/>
                <w:vertAlign w:val="baseline"/>
                <w:lang w:val="en-US" w:eastAsia="zh-CN"/>
              </w:rPr>
            </w:pPr>
            <w:r>
              <w:rPr>
                <w:rFonts w:hint="default" w:ascii="Arial" w:hAnsi="Arial" w:eastAsia="Times New Roman" w:cs="Arial"/>
                <w:sz w:val="20"/>
                <w:szCs w:val="21"/>
                <w:lang w:eastAsia="zh-CN"/>
              </w:rPr>
              <w:t>Time instances related information for prediction</w:t>
            </w:r>
          </w:p>
        </w:tc>
      </w:tr>
    </w:tbl>
    <w:p w14:paraId="3968357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Both option A and option B can be supported, and how to configure is up to NW implementation. </w:t>
      </w:r>
    </w:p>
    <w:p w14:paraId="0550D11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sz w:val="20"/>
          <w:szCs w:val="20"/>
        </w:rPr>
      </w:pPr>
      <w:r>
        <w:rPr>
          <w:rFonts w:hint="eastAsia" w:ascii="Arial" w:hAnsi="Arial" w:cs="Arial"/>
          <w:sz w:val="20"/>
          <w:szCs w:val="22"/>
          <w:lang w:val="en-US" w:eastAsia="zh-CN"/>
        </w:rPr>
        <w:t>In last meeting, RAN2 agreed that i</w:t>
      </w:r>
      <w:r>
        <w:rPr>
          <w:rFonts w:hint="default" w:ascii="Arial" w:hAnsi="Arial" w:cs="Arial"/>
          <w:b w:val="0"/>
          <w:bCs/>
          <w:sz w:val="20"/>
          <w:szCs w:val="20"/>
        </w:rPr>
        <w:t xml:space="preserve">f option A is configured in Step 3, for periodic CSI reporting, the UE autonomously activate the applicable functionalities upon reporting applicable functionalities via </w:t>
      </w:r>
      <w:r>
        <w:rPr>
          <w:rFonts w:hint="default" w:ascii="Arial" w:hAnsi="Arial" w:cs="Arial"/>
          <w:b w:val="0"/>
          <w:bCs/>
          <w:i/>
          <w:iCs/>
          <w:sz w:val="20"/>
          <w:szCs w:val="20"/>
        </w:rPr>
        <w:t xml:space="preserve">RRCReconfigurationComplete </w:t>
      </w:r>
      <w:r>
        <w:rPr>
          <w:rFonts w:hint="default" w:ascii="Arial" w:hAnsi="Arial" w:cs="Arial"/>
          <w:b w:val="0"/>
          <w:bCs/>
          <w:sz w:val="20"/>
          <w:szCs w:val="20"/>
        </w:rPr>
        <w:t xml:space="preserve">in step 4 (i.e. without need to wait </w:t>
      </w:r>
      <w:r>
        <w:rPr>
          <w:rFonts w:hint="default" w:ascii="Arial" w:hAnsi="Arial" w:cs="Arial"/>
          <w:b w:val="0"/>
          <w:bCs/>
          <w:i/>
          <w:iCs/>
          <w:sz w:val="20"/>
          <w:szCs w:val="20"/>
        </w:rPr>
        <w:t xml:space="preserve">RRCReconfiguration </w:t>
      </w:r>
      <w:r>
        <w:rPr>
          <w:rFonts w:hint="default" w:ascii="Arial" w:hAnsi="Arial" w:cs="Arial"/>
          <w:b w:val="0"/>
          <w:bCs/>
          <w:sz w:val="20"/>
          <w:szCs w:val="20"/>
        </w:rPr>
        <w:t xml:space="preserve">in Step 5). </w:t>
      </w:r>
    </w:p>
    <w:p w14:paraId="3A52773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The follow-up issue is that</w:t>
      </w:r>
      <w:r>
        <w:rPr>
          <w:rFonts w:hint="default" w:ascii="Arial" w:hAnsi="Arial" w:cs="Arial"/>
          <w:b w:val="0"/>
          <w:bCs/>
          <w:sz w:val="20"/>
          <w:szCs w:val="20"/>
        </w:rPr>
        <w:t xml:space="preserve"> </w:t>
      </w:r>
      <w:r>
        <w:rPr>
          <w:rFonts w:hint="eastAsia" w:ascii="Arial" w:hAnsi="Arial" w:cs="Arial"/>
          <w:b w:val="0"/>
          <w:bCs/>
          <w:sz w:val="20"/>
          <w:szCs w:val="20"/>
          <w:lang w:val="en-US" w:eastAsia="zh-CN"/>
        </w:rPr>
        <w:t xml:space="preserve">if the non-applicable functionality becomes applicable and the inference configuration for the functionality is provided in step 3, whether the UE can autonomously activate the </w:t>
      </w:r>
      <w:r>
        <w:rPr>
          <w:rFonts w:hint="default" w:ascii="Arial" w:hAnsi="Arial" w:cs="Arial"/>
          <w:b w:val="0"/>
          <w:bCs/>
          <w:sz w:val="20"/>
          <w:szCs w:val="20"/>
        </w:rPr>
        <w:t>applicable functionalities upon reporting applicable functionalities</w:t>
      </w:r>
      <w:r>
        <w:rPr>
          <w:rFonts w:hint="eastAsia" w:ascii="Arial" w:hAnsi="Arial" w:cs="Arial"/>
          <w:b w:val="0"/>
          <w:bCs/>
          <w:sz w:val="20"/>
          <w:szCs w:val="20"/>
          <w:lang w:val="en-US" w:eastAsia="zh-CN"/>
        </w:rPr>
        <w:t xml:space="preserve"> via </w:t>
      </w:r>
      <w:r>
        <w:rPr>
          <w:rFonts w:hint="eastAsia" w:ascii="Arial" w:hAnsi="Arial" w:cs="Arial"/>
          <w:b w:val="0"/>
          <w:bCs/>
          <w:i/>
          <w:iCs/>
          <w:sz w:val="20"/>
          <w:szCs w:val="20"/>
          <w:lang w:val="en-US" w:eastAsia="zh-CN"/>
        </w:rPr>
        <w:t>UEAssistanceInformation</w:t>
      </w:r>
      <w:r>
        <w:rPr>
          <w:rFonts w:hint="eastAsia" w:ascii="Arial" w:hAnsi="Arial" w:cs="Arial"/>
          <w:b w:val="0"/>
          <w:bCs/>
          <w:sz w:val="20"/>
          <w:szCs w:val="20"/>
          <w:lang w:val="en-US" w:eastAsia="zh-CN"/>
        </w:rPr>
        <w:t xml:space="preserve"> in step 6 for periodic CSI reporting. </w:t>
      </w:r>
    </w:p>
    <w:p w14:paraId="00FCA38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example, the network provides three </w:t>
      </w:r>
      <w:r>
        <w:rPr>
          <w:rFonts w:hint="eastAsia" w:ascii="Arial" w:hAnsi="Arial" w:cs="Arial"/>
          <w:b w:val="0"/>
          <w:bCs/>
          <w:i/>
          <w:iCs/>
          <w:sz w:val="20"/>
          <w:szCs w:val="20"/>
          <w:lang w:val="en-US" w:eastAsia="zh-CN"/>
        </w:rPr>
        <w:t>CSI-ReportConfig</w:t>
      </w:r>
      <w:r>
        <w:rPr>
          <w:rFonts w:hint="eastAsia" w:ascii="Arial" w:hAnsi="Arial" w:cs="Arial"/>
          <w:b w:val="0"/>
          <w:bCs/>
          <w:sz w:val="20"/>
          <w:szCs w:val="20"/>
          <w:lang w:val="en-US" w:eastAsia="zh-CN"/>
        </w:rPr>
        <w:t xml:space="preserve"> for functionality#1,#2,#3 </w:t>
      </w:r>
      <w:r>
        <w:rPr>
          <w:rFonts w:hint="default" w:ascii="Arial" w:hAnsi="Arial" w:cs="Arial"/>
          <w:b w:val="0"/>
          <w:bCs/>
          <w:sz w:val="20"/>
          <w:szCs w:val="20"/>
        </w:rPr>
        <w:t>for periodic CSI reporting</w:t>
      </w:r>
      <w:r>
        <w:rPr>
          <w:rFonts w:hint="eastAsia" w:ascii="Arial" w:hAnsi="Arial" w:cs="Arial"/>
          <w:b w:val="0"/>
          <w:bCs/>
          <w:sz w:val="20"/>
          <w:szCs w:val="20"/>
          <w:lang w:val="en-US" w:eastAsia="zh-CN"/>
        </w:rPr>
        <w:t xml:space="preserve"> in step 3, the UE reports applicability (#1) and inapplicability (#2 and #3) in step 4 and activates functionality#1 autonomously. After a while, functionality#2 becomes applicable, and UE reports it via UAI in step 6. Whether functionality#2 can be activated autonomously upon the reporting via UAI needs to be clarified.</w:t>
      </w:r>
    </w:p>
    <w:p w14:paraId="0333537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jc w:val="center"/>
        <w:textAlignment w:val="auto"/>
      </w:pPr>
      <w:r>
        <w:object>
          <v:shape id="_x0000_i1025" o:spt="75" type="#_x0000_t75" style="height:230.35pt;width:280.0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3DFCEC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jc w:val="center"/>
        <w:textAlignment w:val="auto"/>
        <w:rPr>
          <w:rFonts w:hint="default" w:ascii="Arial" w:hAnsi="Arial" w:cs="Arial" w:eastAsiaTheme="minorEastAsia"/>
          <w:sz w:val="20"/>
          <w:szCs w:val="21"/>
          <w:lang w:val="en-US" w:eastAsia="zh-CN"/>
        </w:rPr>
      </w:pPr>
      <w:r>
        <w:rPr>
          <w:rFonts w:hint="default" w:ascii="Arial" w:hAnsi="Arial" w:cs="Arial"/>
          <w:sz w:val="20"/>
          <w:szCs w:val="21"/>
          <w:lang w:val="en-US" w:eastAsia="zh-CN"/>
        </w:rPr>
        <w:t xml:space="preserve">Fig 1. </w:t>
      </w:r>
      <w:r>
        <w:rPr>
          <w:rFonts w:hint="eastAsia" w:ascii="Arial" w:hAnsi="Arial" w:cs="Arial"/>
          <w:sz w:val="20"/>
          <w:szCs w:val="21"/>
          <w:lang w:val="en-US" w:eastAsia="zh-CN"/>
        </w:rPr>
        <w:t xml:space="preserve">Basic flow </w:t>
      </w:r>
      <w:r>
        <w:rPr>
          <w:rFonts w:hint="default" w:ascii="Arial" w:hAnsi="Arial" w:cs="Arial"/>
          <w:sz w:val="20"/>
          <w:szCs w:val="21"/>
          <w:lang w:val="en-US" w:eastAsia="zh-CN"/>
        </w:rPr>
        <w:t>for option A</w:t>
      </w:r>
    </w:p>
    <w:p w14:paraId="56C840D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i w:val="0"/>
          <w:iCs w:val="0"/>
          <w:sz w:val="20"/>
          <w:szCs w:val="20"/>
          <w:lang w:val="en-US" w:eastAsia="zh-CN"/>
        </w:rPr>
      </w:pPr>
      <w:r>
        <w:rPr>
          <w:rFonts w:hint="eastAsia" w:ascii="Arial" w:hAnsi="Arial" w:cs="Arial"/>
          <w:b w:val="0"/>
          <w:bCs/>
          <w:sz w:val="20"/>
          <w:szCs w:val="20"/>
          <w:lang w:val="en-US" w:eastAsia="zh-CN"/>
        </w:rPr>
        <w:t>From the perspective of operator, we don</w:t>
      </w:r>
      <w:r>
        <w:rPr>
          <w:rFonts w:hint="default" w:ascii="Arial" w:hAnsi="Arial" w:cs="Arial"/>
          <w:b w:val="0"/>
          <w:bCs/>
          <w:sz w:val="20"/>
          <w:szCs w:val="20"/>
          <w:lang w:val="en-US" w:eastAsia="zh-CN"/>
        </w:rPr>
        <w:t>’</w:t>
      </w:r>
      <w:r>
        <w:rPr>
          <w:rFonts w:hint="eastAsia" w:ascii="Arial" w:hAnsi="Arial" w:cs="Arial"/>
          <w:b w:val="0"/>
          <w:bCs/>
          <w:sz w:val="20"/>
          <w:szCs w:val="20"/>
          <w:lang w:val="en-US" w:eastAsia="zh-CN"/>
        </w:rPr>
        <w:t xml:space="preserve">t expect the UE autonomously activate the </w:t>
      </w:r>
      <w:r>
        <w:rPr>
          <w:rFonts w:hint="default" w:ascii="Arial" w:hAnsi="Arial" w:cs="Arial"/>
          <w:b w:val="0"/>
          <w:bCs/>
          <w:sz w:val="20"/>
          <w:szCs w:val="20"/>
        </w:rPr>
        <w:t xml:space="preserve">applicable functionalities </w:t>
      </w:r>
      <w:r>
        <w:rPr>
          <w:rFonts w:hint="eastAsia" w:ascii="Arial" w:hAnsi="Arial" w:cs="Arial"/>
          <w:b w:val="0"/>
          <w:bCs/>
          <w:sz w:val="20"/>
          <w:szCs w:val="20"/>
          <w:lang w:val="en-US" w:eastAsia="zh-CN"/>
        </w:rPr>
        <w:t>upon the subsequent</w:t>
      </w:r>
      <w:r>
        <w:rPr>
          <w:rFonts w:hint="default" w:ascii="Arial" w:hAnsi="Arial" w:cs="Arial"/>
          <w:b w:val="0"/>
          <w:bCs/>
          <w:sz w:val="20"/>
          <w:szCs w:val="20"/>
        </w:rPr>
        <w:t xml:space="preserve"> applicable functionalities</w:t>
      </w:r>
      <w:r>
        <w:rPr>
          <w:rFonts w:hint="eastAsia" w:ascii="Arial" w:hAnsi="Arial" w:cs="Arial"/>
          <w:b w:val="0"/>
          <w:bCs/>
          <w:sz w:val="20"/>
          <w:szCs w:val="20"/>
          <w:lang w:val="en-US" w:eastAsia="zh-CN"/>
        </w:rPr>
        <w:t xml:space="preserve"> </w:t>
      </w:r>
      <w:r>
        <w:rPr>
          <w:rFonts w:hint="default" w:ascii="Arial" w:hAnsi="Arial" w:cs="Arial"/>
          <w:b w:val="0"/>
          <w:bCs/>
          <w:sz w:val="20"/>
          <w:szCs w:val="20"/>
        </w:rPr>
        <w:t xml:space="preserve">reporting </w:t>
      </w:r>
      <w:r>
        <w:rPr>
          <w:rFonts w:hint="eastAsia" w:ascii="Arial" w:hAnsi="Arial" w:cs="Arial"/>
          <w:b w:val="0"/>
          <w:bCs/>
          <w:sz w:val="20"/>
          <w:szCs w:val="20"/>
          <w:lang w:val="en-US" w:eastAsia="zh-CN"/>
        </w:rPr>
        <w:t xml:space="preserve">via </w:t>
      </w:r>
      <w:r>
        <w:rPr>
          <w:rFonts w:hint="eastAsia" w:ascii="Arial" w:hAnsi="Arial" w:cs="Arial"/>
          <w:b w:val="0"/>
          <w:bCs/>
          <w:i/>
          <w:iCs/>
          <w:sz w:val="20"/>
          <w:szCs w:val="20"/>
          <w:lang w:val="en-US" w:eastAsia="zh-CN"/>
        </w:rPr>
        <w:t>UEAssistanceInformation</w:t>
      </w:r>
      <w:r>
        <w:rPr>
          <w:rFonts w:hint="eastAsia" w:ascii="Arial" w:hAnsi="Arial" w:cs="Arial"/>
          <w:b w:val="0"/>
          <w:bCs/>
          <w:i w:val="0"/>
          <w:iCs w:val="0"/>
          <w:sz w:val="20"/>
          <w:szCs w:val="20"/>
          <w:lang w:val="en-US" w:eastAsia="zh-CN"/>
        </w:rPr>
        <w:t xml:space="preserve"> message </w:t>
      </w:r>
      <w:r>
        <w:rPr>
          <w:rFonts w:hint="eastAsia" w:ascii="Arial" w:hAnsi="Arial" w:cs="Arial"/>
          <w:b w:val="0"/>
          <w:bCs/>
          <w:sz w:val="20"/>
          <w:szCs w:val="20"/>
          <w:lang w:val="en-US" w:eastAsia="zh-CN"/>
        </w:rPr>
        <w:t>for periodic CSI reporting</w:t>
      </w:r>
      <w:r>
        <w:rPr>
          <w:rFonts w:hint="eastAsia" w:ascii="Arial" w:hAnsi="Arial" w:cs="Arial"/>
          <w:b w:val="0"/>
          <w:bCs/>
          <w:i w:val="0"/>
          <w:iCs w:val="0"/>
          <w:sz w:val="20"/>
          <w:szCs w:val="20"/>
          <w:lang w:val="en-US" w:eastAsia="zh-CN"/>
        </w:rPr>
        <w:t xml:space="preserve">. </w:t>
      </w:r>
    </w:p>
    <w:p w14:paraId="641D61C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i w:val="0"/>
          <w:iCs w:val="0"/>
          <w:sz w:val="20"/>
          <w:szCs w:val="20"/>
          <w:lang w:val="en-US" w:eastAsia="zh-CN"/>
        </w:rPr>
      </w:pPr>
      <w:r>
        <w:rPr>
          <w:rFonts w:hint="eastAsia" w:ascii="Arial" w:hAnsi="Arial" w:cs="Arial"/>
          <w:b w:val="0"/>
          <w:bCs/>
          <w:i w:val="0"/>
          <w:iCs w:val="0"/>
          <w:sz w:val="20"/>
          <w:szCs w:val="20"/>
          <w:lang w:val="en-US" w:eastAsia="zh-CN"/>
        </w:rPr>
        <w:t xml:space="preserve">On the one hand, UAI is just for information for network in legacy mechanism, and there is no UE autonomous behaviour after transmitting UAI message. </w:t>
      </w:r>
    </w:p>
    <w:p w14:paraId="641BC73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i w:val="0"/>
          <w:iCs w:val="0"/>
          <w:sz w:val="20"/>
          <w:szCs w:val="20"/>
          <w:lang w:val="en-US" w:eastAsia="zh-CN"/>
        </w:rPr>
      </w:pPr>
      <w:r>
        <w:rPr>
          <w:rFonts w:hint="eastAsia" w:ascii="Arial" w:hAnsi="Arial" w:cs="Arial"/>
          <w:b w:val="0"/>
          <w:bCs/>
          <w:i w:val="0"/>
          <w:iCs w:val="0"/>
          <w:sz w:val="20"/>
          <w:szCs w:val="20"/>
          <w:lang w:val="en-US" w:eastAsia="zh-CN"/>
        </w:rPr>
        <w:t xml:space="preserve">On the other hand, for non-applicable functionality reported in step 4, the network may release the reserved resources after step 4. That means the inference configuration received in step 3 may be unavailable when the functionality becomes applicable from non-applicable. We think the reasonable solution is that after the UE reports updated applicability functionality, the network can provide the inference configuration via </w:t>
      </w:r>
      <w:r>
        <w:rPr>
          <w:rFonts w:hint="eastAsia" w:ascii="Arial" w:hAnsi="Arial" w:cs="Arial"/>
          <w:b w:val="0"/>
          <w:bCs/>
          <w:i/>
          <w:iCs/>
          <w:sz w:val="20"/>
          <w:szCs w:val="20"/>
          <w:lang w:val="en-US" w:eastAsia="zh-CN"/>
        </w:rPr>
        <w:t xml:space="preserve">RRCReconfiguration </w:t>
      </w:r>
      <w:r>
        <w:rPr>
          <w:rFonts w:hint="eastAsia" w:ascii="Arial" w:hAnsi="Arial" w:cs="Arial"/>
          <w:b w:val="0"/>
          <w:bCs/>
          <w:i w:val="0"/>
          <w:iCs w:val="0"/>
          <w:sz w:val="20"/>
          <w:szCs w:val="20"/>
          <w:lang w:val="en-US" w:eastAsia="zh-CN"/>
        </w:rPr>
        <w:t>message.</w:t>
      </w:r>
    </w:p>
    <w:p w14:paraId="0F454C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i w:val="0"/>
          <w:iCs w:val="0"/>
          <w:sz w:val="20"/>
          <w:szCs w:val="20"/>
          <w:lang w:val="en-US" w:eastAsia="zh-CN"/>
        </w:rPr>
      </w:pPr>
      <w:r>
        <w:rPr>
          <w:rFonts w:hint="eastAsia" w:ascii="Arial" w:hAnsi="Arial" w:cs="Arial"/>
          <w:b/>
          <w:bCs w:val="0"/>
          <w:i w:val="0"/>
          <w:iCs w:val="0"/>
          <w:sz w:val="20"/>
          <w:szCs w:val="20"/>
          <w:lang w:val="en-US" w:eastAsia="zh-CN"/>
        </w:rPr>
        <w:t xml:space="preserve">Proposal 2: If </w:t>
      </w:r>
      <w:r>
        <w:rPr>
          <w:rFonts w:hint="default" w:ascii="Arial" w:hAnsi="Arial" w:cs="Arial"/>
          <w:b/>
          <w:bCs w:val="0"/>
          <w:sz w:val="20"/>
          <w:szCs w:val="20"/>
        </w:rPr>
        <w:t xml:space="preserve">option A is configured in Step 3, </w:t>
      </w:r>
      <w:r>
        <w:rPr>
          <w:rFonts w:hint="eastAsia" w:ascii="Arial" w:hAnsi="Arial" w:cs="Arial"/>
          <w:b/>
          <w:bCs w:val="0"/>
          <w:sz w:val="20"/>
          <w:szCs w:val="20"/>
          <w:lang w:val="en-US" w:eastAsia="zh-CN"/>
        </w:rPr>
        <w:t xml:space="preserve">when the non-applicable functionality reported in step 4 becomes applicable, and the changes are reported to the network via </w:t>
      </w:r>
      <w:r>
        <w:rPr>
          <w:rFonts w:hint="eastAsia" w:ascii="Arial" w:hAnsi="Arial" w:cs="Arial"/>
          <w:b/>
          <w:bCs w:val="0"/>
          <w:i/>
          <w:iCs/>
          <w:sz w:val="20"/>
          <w:szCs w:val="20"/>
          <w:lang w:val="en-US" w:eastAsia="zh-CN"/>
        </w:rPr>
        <w:t>UEAssistanceInformation</w:t>
      </w:r>
      <w:r>
        <w:rPr>
          <w:rFonts w:hint="eastAsia" w:ascii="Arial" w:hAnsi="Arial" w:cs="Arial"/>
          <w:b/>
          <w:bCs w:val="0"/>
          <w:i w:val="0"/>
          <w:iCs w:val="0"/>
          <w:sz w:val="20"/>
          <w:szCs w:val="20"/>
          <w:lang w:val="en-US" w:eastAsia="zh-CN"/>
        </w:rPr>
        <w:t xml:space="preserve"> message, </w:t>
      </w:r>
      <w:r>
        <w:rPr>
          <w:rFonts w:hint="default" w:ascii="Arial" w:hAnsi="Arial" w:cs="Arial"/>
          <w:b/>
          <w:bCs w:val="0"/>
          <w:sz w:val="20"/>
          <w:szCs w:val="20"/>
        </w:rPr>
        <w:t xml:space="preserve">the UE </w:t>
      </w:r>
      <w:r>
        <w:rPr>
          <w:rFonts w:hint="eastAsia" w:ascii="Arial" w:hAnsi="Arial" w:cs="Arial"/>
          <w:b/>
          <w:bCs w:val="0"/>
          <w:sz w:val="20"/>
          <w:szCs w:val="20"/>
          <w:lang w:val="en-US" w:eastAsia="zh-CN"/>
        </w:rPr>
        <w:t xml:space="preserve">cannot </w:t>
      </w:r>
      <w:r>
        <w:rPr>
          <w:rFonts w:hint="default" w:ascii="Arial" w:hAnsi="Arial" w:cs="Arial"/>
          <w:b/>
          <w:bCs w:val="0"/>
          <w:sz w:val="20"/>
          <w:szCs w:val="20"/>
        </w:rPr>
        <w:t>autonomously activate the applicable functionalities for periodic CSI reporting</w:t>
      </w:r>
      <w:r>
        <w:rPr>
          <w:rFonts w:hint="eastAsia" w:ascii="Arial" w:hAnsi="Arial" w:cs="Arial"/>
          <w:b/>
          <w:bCs w:val="0"/>
          <w:sz w:val="20"/>
          <w:szCs w:val="20"/>
          <w:lang w:val="en-US" w:eastAsia="zh-CN"/>
        </w:rPr>
        <w:t>.</w:t>
      </w:r>
      <w:r>
        <w:rPr>
          <w:rFonts w:hint="default" w:ascii="Arial" w:hAnsi="Arial" w:cs="Arial"/>
          <w:b w:val="0"/>
          <w:bCs/>
          <w:sz w:val="20"/>
          <w:szCs w:val="20"/>
        </w:rPr>
        <w:t xml:space="preserve"> </w:t>
      </w:r>
    </w:p>
    <w:p w14:paraId="6EB79B5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For option B, the </w:t>
      </w:r>
      <w:r>
        <w:rPr>
          <w:rFonts w:hint="eastAsia" w:ascii="Arial" w:hAnsi="Arial" w:cs="Arial"/>
          <w:b w:val="0"/>
          <w:bCs w:val="0"/>
          <w:i/>
          <w:iCs/>
          <w:sz w:val="20"/>
          <w:szCs w:val="22"/>
          <w:lang w:val="en-US" w:eastAsia="zh-CN"/>
        </w:rPr>
        <w:t>CSI-ReportConifg</w:t>
      </w:r>
      <w:r>
        <w:rPr>
          <w:rFonts w:hint="eastAsia" w:ascii="Arial" w:hAnsi="Arial" w:cs="Arial"/>
          <w:sz w:val="20"/>
          <w:szCs w:val="22"/>
          <w:lang w:val="en-US" w:eastAsia="zh-CN"/>
        </w:rPr>
        <w:t xml:space="preserve"> (i.e. inference configuration) included in </w:t>
      </w:r>
      <w:r>
        <w:rPr>
          <w:rFonts w:hint="eastAsia" w:ascii="Arial" w:hAnsi="Arial" w:cs="Arial"/>
          <w:i/>
          <w:iCs/>
          <w:sz w:val="20"/>
          <w:szCs w:val="22"/>
          <w:lang w:val="en-US" w:eastAsia="zh-CN"/>
        </w:rPr>
        <w:t xml:space="preserve">RRCReconfiguration </w:t>
      </w:r>
      <w:r>
        <w:rPr>
          <w:rFonts w:hint="eastAsia" w:ascii="Arial" w:hAnsi="Arial" w:cs="Arial"/>
          <w:sz w:val="20"/>
          <w:szCs w:val="22"/>
          <w:lang w:val="en-US" w:eastAsia="zh-CN"/>
        </w:rPr>
        <w:t xml:space="preserve">is provided based on the applicability/inapplicability reporting in step 4, a smart network cannot provide the inference configuration for non-applicable functionality. Therefore, there will be no situation similar to option A mentioned above.  </w:t>
      </w:r>
    </w:p>
    <w:p w14:paraId="389A15A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b/>
          <w:bCs/>
          <w:i/>
          <w:iCs/>
          <w:sz w:val="20"/>
          <w:szCs w:val="20"/>
          <w:u w:val="single"/>
          <w:lang w:val="en-US" w:eastAsia="zh-CN"/>
        </w:rPr>
        <w:t>FFS on explicit cause</w:t>
      </w:r>
      <w:r>
        <w:rPr>
          <w:rFonts w:hint="eastAsia" w:ascii="Arial" w:hAnsi="Arial" w:cs="Arial"/>
          <w:sz w:val="20"/>
          <w:szCs w:val="22"/>
          <w:lang w:val="en-US" w:eastAsia="zh-CN"/>
        </w:rPr>
        <w:t xml:space="preserve"> </w:t>
      </w:r>
    </w:p>
    <w:p w14:paraId="45E0D93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In last meeting, RAN2 agreed to support the explicit reporting of applicability/inapplicability in initial report and subsequent reporting it reports only applicability it changed. FFS if we report explicit cause. We don</w:t>
      </w:r>
      <w:r>
        <w:rPr>
          <w:rFonts w:hint="default" w:ascii="Arial" w:hAnsi="Arial" w:cs="Arial"/>
          <w:sz w:val="20"/>
          <w:szCs w:val="22"/>
          <w:lang w:val="en-US" w:eastAsia="zh-CN"/>
        </w:rPr>
        <w:t>’</w:t>
      </w:r>
      <w:r>
        <w:rPr>
          <w:rFonts w:hint="eastAsia" w:ascii="Arial" w:hAnsi="Arial" w:cs="Arial"/>
          <w:sz w:val="20"/>
          <w:szCs w:val="22"/>
          <w:lang w:val="en-US" w:eastAsia="zh-CN"/>
        </w:rPr>
        <w:t xml:space="preserve">t think the network needs to know the explicit cause. And we understand that the functionality applicability/inapplicability is enough for the network to provide the inference configuration or activation/deactivation. </w:t>
      </w:r>
    </w:p>
    <w:p w14:paraId="2E0924A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Based on the previous agreements, UE decides the applicable functionalities based on </w:t>
      </w:r>
      <w:r>
        <w:rPr>
          <w:rFonts w:hint="eastAsia" w:ascii="Arial" w:hAnsi="Arial" w:cs="Arial"/>
          <w:sz w:val="20"/>
          <w:szCs w:val="22"/>
          <w:highlight w:val="none"/>
          <w:lang w:val="en-US" w:eastAsia="zh-CN"/>
        </w:rPr>
        <w:t>NW-side additional conditions (if provided), UE-side additional conditions (internally known by UE), model availability in device and configuration provided in step 3</w:t>
      </w:r>
      <w:r>
        <w:rPr>
          <w:rFonts w:hint="eastAsia" w:ascii="Arial" w:hAnsi="Arial" w:cs="Arial"/>
          <w:sz w:val="20"/>
          <w:szCs w:val="22"/>
          <w:lang w:val="en-US" w:eastAsia="zh-CN"/>
        </w:rPr>
        <w:t xml:space="preserve"> (e.g. inference configuration, or inference related parameters). </w:t>
      </w:r>
    </w:p>
    <w:p w14:paraId="2336306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For model availability, some companies proposed that if the UE indicates the cause </w:t>
      </w:r>
      <w:r>
        <w:rPr>
          <w:rFonts w:hint="default" w:ascii="Arial" w:hAnsi="Arial" w:cs="Arial"/>
          <w:sz w:val="20"/>
          <w:szCs w:val="22"/>
          <w:lang w:val="en-US" w:eastAsia="zh-CN"/>
        </w:rPr>
        <w:t>“</w:t>
      </w:r>
      <w:r>
        <w:rPr>
          <w:rFonts w:hint="eastAsia" w:ascii="Arial" w:hAnsi="Arial" w:cs="Arial"/>
          <w:sz w:val="20"/>
          <w:szCs w:val="22"/>
          <w:lang w:val="en-US" w:eastAsia="zh-CN"/>
        </w:rPr>
        <w:t>model non-availability</w:t>
      </w:r>
      <w:r>
        <w:rPr>
          <w:rFonts w:hint="default" w:ascii="Arial" w:hAnsi="Arial" w:cs="Arial"/>
          <w:sz w:val="20"/>
          <w:szCs w:val="22"/>
          <w:lang w:val="en-US" w:eastAsia="zh-CN"/>
        </w:rPr>
        <w:t>”</w:t>
      </w:r>
      <w:r>
        <w:rPr>
          <w:rFonts w:hint="eastAsia" w:ascii="Arial" w:hAnsi="Arial" w:cs="Arial"/>
          <w:sz w:val="20"/>
          <w:szCs w:val="22"/>
          <w:lang w:val="en-US" w:eastAsia="zh-CN"/>
        </w:rPr>
        <w:t xml:space="preserve">, the model transfer can be performed from network to the UE. However, for BM use case where one-sided model is used, we think the model transfer directly from OTT server to the UE is sufficient in this release. </w:t>
      </w:r>
    </w:p>
    <w:p w14:paraId="084F1B9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For NW-side additional condition, if NW-side additional condition of the model in UE side is different from which is provided by network, we understand that it means there is no available model for the NW-side additional condition provided by network. Therefore, the case is similar to the model non-availability analyzed above.</w:t>
      </w:r>
    </w:p>
    <w:p w14:paraId="5C2EE36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For UE-side additional conditions (e.g. memory, battery), even if the UE reports to the network, the network cannot be aware of the changes for UE-side additional conditions, such as when the memory or battery can be satisfied for AI operation or not. Thus, it is not clear what benefits it brings to the network.</w:t>
      </w:r>
    </w:p>
    <w:p w14:paraId="759FBBE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sz w:val="20"/>
          <w:szCs w:val="22"/>
          <w:lang w:val="en-US" w:eastAsia="zh-CN"/>
        </w:rPr>
        <w:t>Based on the above analysis, there is no need to report the explicit cause within applicability/inapplicability reporting.</w:t>
      </w:r>
    </w:p>
    <w:p w14:paraId="7CFC4B3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Proposal 3: The explicit cause is not needed within the applicability/inapplicability reporting.</w:t>
      </w:r>
    </w:p>
    <w:p w14:paraId="1F70179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p>
    <w:p w14:paraId="47581C9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Data collection</w:t>
      </w:r>
    </w:p>
    <w:p w14:paraId="36973E8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In previous meeting, there was a </w:t>
      </w:r>
      <w:r>
        <w:rPr>
          <w:rFonts w:hint="default" w:ascii="Arial" w:hAnsi="Arial" w:cs="Arial"/>
          <w:sz w:val="20"/>
          <w:szCs w:val="22"/>
          <w:lang w:val="en-US"/>
        </w:rPr>
        <w:t>FFS whether an indication from UE to network is needed when UE can’t perform data collection based on received configuration</w:t>
      </w:r>
      <w:r>
        <w:rPr>
          <w:rFonts w:hint="eastAsia" w:ascii="Arial" w:hAnsi="Arial" w:cs="Arial"/>
          <w:sz w:val="20"/>
          <w:szCs w:val="22"/>
          <w:lang w:val="en-US" w:eastAsia="zh-CN"/>
        </w:rPr>
        <w:t>.</w:t>
      </w:r>
    </w:p>
    <w:p w14:paraId="7B76B1B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sz w:val="20"/>
          <w:szCs w:val="22"/>
          <w:lang w:val="en-US" w:eastAsia="zh-CN"/>
        </w:rPr>
        <w:t xml:space="preserve">In our understanding, although RAN2 has no agreements on the details of data collection configuration, it is provided to the UE by </w:t>
      </w:r>
      <w:r>
        <w:rPr>
          <w:rFonts w:hint="eastAsia" w:ascii="Arial" w:hAnsi="Arial" w:cs="Arial"/>
          <w:i/>
          <w:iCs/>
          <w:sz w:val="20"/>
          <w:szCs w:val="22"/>
          <w:lang w:val="en-US" w:eastAsia="zh-CN"/>
        </w:rPr>
        <w:t xml:space="preserve">RRCReconfiguration </w:t>
      </w:r>
      <w:r>
        <w:rPr>
          <w:rFonts w:hint="eastAsia" w:ascii="Arial" w:hAnsi="Arial" w:cs="Arial"/>
          <w:sz w:val="20"/>
          <w:szCs w:val="22"/>
          <w:lang w:val="en-US" w:eastAsia="zh-CN"/>
        </w:rPr>
        <w:t>message since the UE stays in RRC_CONNECTED state. As specified in TS 38.331 [3], if the UE cannot comply with RRCReconfiguration, the UE shall continue using the configuration used prior to the reception of RRCReconfiguration message or perform the actions upon going to RRC_IDLE or initiate the connection re-establishment procedure.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EEA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AAA9D5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vertAlign w:val="baseline"/>
                <w:lang w:val="en-US" w:eastAsia="zh-CN"/>
              </w:rPr>
            </w:pPr>
            <w:r>
              <w:rPr>
                <w:rFonts w:hint="eastAsia" w:ascii="Arial" w:hAnsi="Arial" w:cs="Arial"/>
                <w:sz w:val="20"/>
                <w:szCs w:val="22"/>
                <w:vertAlign w:val="baseline"/>
                <w:lang w:val="en-US" w:eastAsia="zh-CN"/>
              </w:rPr>
              <w:t>5.3.5.8 Reconfiguration Failure</w:t>
            </w:r>
          </w:p>
          <w:p w14:paraId="333482C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i/>
                <w:iCs/>
                <w:sz w:val="20"/>
                <w:szCs w:val="22"/>
                <w:vertAlign w:val="baseline"/>
                <w:lang w:val="en-US" w:eastAsia="zh-CN"/>
              </w:rPr>
            </w:pPr>
            <w:r>
              <w:rPr>
                <w:rFonts w:hint="eastAsia" w:ascii="Arial" w:hAnsi="Arial" w:cs="Arial"/>
                <w:sz w:val="20"/>
                <w:szCs w:val="22"/>
                <w:vertAlign w:val="baseline"/>
                <w:lang w:val="en-US" w:eastAsia="zh-CN"/>
              </w:rPr>
              <w:t xml:space="preserve">5.3.5.8.2 Inability to comply with </w:t>
            </w:r>
            <w:r>
              <w:rPr>
                <w:rFonts w:hint="eastAsia" w:ascii="Arial" w:hAnsi="Arial" w:cs="Arial"/>
                <w:i/>
                <w:iCs/>
                <w:sz w:val="20"/>
                <w:szCs w:val="22"/>
                <w:vertAlign w:val="baseline"/>
                <w:lang w:val="en-US" w:eastAsia="zh-CN"/>
              </w:rPr>
              <w:t>RRCReconfiguration</w:t>
            </w:r>
          </w:p>
          <w:p w14:paraId="65F53642">
            <w:pPr>
              <w:keepNext w:val="0"/>
              <w:keepLines w:val="0"/>
              <w:widowControl/>
              <w:suppressLineNumbers w:val="0"/>
              <w:jc w:val="left"/>
              <w:rPr>
                <w:sz w:val="20"/>
                <w:szCs w:val="20"/>
              </w:rPr>
            </w:pPr>
            <w:r>
              <w:rPr>
                <w:rFonts w:ascii="Times-Roman" w:hAnsi="Times-Roman" w:eastAsia="Times-Roman" w:cs="Times-Roman"/>
                <w:color w:val="000000"/>
                <w:kern w:val="0"/>
                <w:sz w:val="20"/>
                <w:szCs w:val="20"/>
                <w:lang w:val="en-US" w:eastAsia="zh-CN" w:bidi="ar"/>
              </w:rPr>
              <w:t>The UE shall:</w:t>
            </w:r>
          </w:p>
          <w:p w14:paraId="4F84D10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&lt;omitted&gt;</w:t>
            </w:r>
          </w:p>
          <w:p w14:paraId="3C13F288">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1&gt; else if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is received via NR (i.e., NR standalone, NE-DC, or NR-DC):</w:t>
            </w:r>
          </w:p>
          <w:p w14:paraId="32F8793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&lt;omitted&gt;</w:t>
            </w:r>
          </w:p>
          <w:p w14:paraId="40C1AA55">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2&gt; else if the UE is unable to comply with (part of) the configuration included in the </w:t>
            </w:r>
            <w:r>
              <w:rPr>
                <w:rFonts w:hint="default" w:ascii="Times New Roman" w:hAnsi="Times New Roman" w:eastAsia="Times-Italic" w:cs="Times New Roman"/>
                <w:i/>
                <w:iCs/>
                <w:color w:val="000000"/>
                <w:kern w:val="0"/>
                <w:sz w:val="20"/>
                <w:szCs w:val="20"/>
                <w:lang w:val="en-US" w:eastAsia="zh-CN" w:bidi="ar"/>
              </w:rPr>
              <w:t xml:space="preserve">RRCReconfiguration </w:t>
            </w:r>
          </w:p>
          <w:p w14:paraId="6CF5B9CF">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message received over the SRB1 or if the upper layers indicate that the </w:t>
            </w:r>
            <w:r>
              <w:rPr>
                <w:rFonts w:hint="default" w:ascii="Times New Roman" w:hAnsi="Times New Roman" w:eastAsia="Times-Italic" w:cs="Times New Roman"/>
                <w:i/>
                <w:iCs/>
                <w:color w:val="000000"/>
                <w:kern w:val="0"/>
                <w:sz w:val="20"/>
                <w:szCs w:val="20"/>
                <w:lang w:val="en-US" w:eastAsia="zh-CN" w:bidi="ar"/>
              </w:rPr>
              <w:t>nas-Container</w:t>
            </w:r>
            <w:r>
              <w:rPr>
                <w:rFonts w:hint="default" w:ascii="Times New Roman" w:hAnsi="Times New Roman" w:eastAsia="Times-Roman" w:cs="Times New Roman"/>
                <w:color w:val="000000"/>
                <w:kern w:val="0"/>
                <w:sz w:val="20"/>
                <w:szCs w:val="20"/>
                <w:lang w:val="en-US" w:eastAsia="zh-CN" w:bidi="ar"/>
              </w:rPr>
              <w:t xml:space="preserve"> is invalid:</w:t>
            </w:r>
          </w:p>
          <w:p w14:paraId="091827A6">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NOTE 0a: The compliance also covers the SCG configuration carried within octet strings e.g. field </w:t>
            </w:r>
            <w:r>
              <w:rPr>
                <w:rFonts w:hint="default" w:ascii="Times New Roman" w:hAnsi="Times New Roman" w:eastAsia="Times-Italic" w:cs="Times New Roman"/>
                <w:i/>
                <w:iCs/>
                <w:color w:val="000000"/>
                <w:kern w:val="0"/>
                <w:sz w:val="20"/>
                <w:szCs w:val="20"/>
                <w:lang w:val="en-US" w:eastAsia="zh-CN" w:bidi="ar"/>
              </w:rPr>
              <w:t>mrdc</w:t>
            </w:r>
          </w:p>
          <w:p w14:paraId="3871B046">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SecondaryCellGroupConfig</w:t>
            </w:r>
            <w:r>
              <w:rPr>
                <w:rFonts w:hint="default" w:ascii="Times New Roman" w:hAnsi="Times New Roman" w:eastAsia="Times-Roman" w:cs="Times New Roman"/>
                <w:color w:val="000000"/>
                <w:kern w:val="0"/>
                <w:sz w:val="20"/>
                <w:szCs w:val="20"/>
                <w:lang w:val="en-US" w:eastAsia="zh-CN" w:bidi="ar"/>
              </w:rPr>
              <w:t xml:space="preserve">. I.e. the failure behaviour defined also applies in case the UE cannot comply </w:t>
            </w:r>
          </w:p>
          <w:p w14:paraId="517608C2">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with the embedded SCG configuration or with the combination of (parts of) the MCG and SCG </w:t>
            </w:r>
          </w:p>
          <w:p w14:paraId="6D94C86C">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configurations. </w:t>
            </w:r>
          </w:p>
          <w:p w14:paraId="1768EF19">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NOTE 0b: The compliance also covers the V2X sidelink configuration carried within an octet string, e.g. field </w:t>
            </w:r>
            <w:r>
              <w:rPr>
                <w:rFonts w:hint="default" w:ascii="Times New Roman" w:hAnsi="Times New Roman" w:eastAsia="Times-Italic" w:cs="Times New Roman"/>
                <w:i/>
                <w:iCs/>
                <w:color w:val="000000"/>
                <w:kern w:val="0"/>
                <w:sz w:val="20"/>
                <w:szCs w:val="20"/>
                <w:lang w:val="en-US" w:eastAsia="zh-CN" w:bidi="ar"/>
              </w:rPr>
              <w:t>sl</w:t>
            </w:r>
          </w:p>
          <w:p w14:paraId="250A45A7">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ConfigDedicatedEUTRA</w:t>
            </w:r>
            <w:r>
              <w:rPr>
                <w:rFonts w:hint="default" w:ascii="Times New Roman" w:hAnsi="Times New Roman" w:eastAsia="Times-Roman" w:cs="Times New Roman"/>
                <w:color w:val="000000"/>
                <w:kern w:val="0"/>
                <w:sz w:val="20"/>
                <w:szCs w:val="20"/>
                <w:lang w:val="en-US" w:eastAsia="zh-CN" w:bidi="ar"/>
              </w:rPr>
              <w:t xml:space="preserve">. I.e. the failure behaviour defined also applies in case the UE cannot comply </w:t>
            </w:r>
          </w:p>
          <w:p w14:paraId="6C6F338E">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with the embedded V2X sidelink configuration. </w:t>
            </w:r>
          </w:p>
          <w:p w14:paraId="457CCC9F">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the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received as part of </w:t>
            </w:r>
            <w:r>
              <w:rPr>
                <w:rFonts w:hint="default" w:ascii="Times New Roman" w:hAnsi="Times New Roman" w:eastAsia="Times-Italic" w:cs="Times New Roman"/>
                <w:i/>
                <w:iCs/>
                <w:color w:val="000000"/>
                <w:kern w:val="0"/>
                <w:sz w:val="20"/>
                <w:szCs w:val="20"/>
                <w:lang w:val="en-US" w:eastAsia="zh-CN" w:bidi="ar"/>
              </w:rPr>
              <w:t>ConditionalReconfiguration</w:t>
            </w:r>
            <w:r>
              <w:rPr>
                <w:rFonts w:hint="default" w:ascii="Times New Roman" w:hAnsi="Times New Roman" w:eastAsia="Times-Roman" w:cs="Times New Roman"/>
                <w:color w:val="000000"/>
                <w:kern w:val="0"/>
                <w:sz w:val="20"/>
                <w:szCs w:val="20"/>
                <w:lang w:val="en-US" w:eastAsia="zh-CN" w:bidi="ar"/>
              </w:rPr>
              <w:t xml:space="preserve">; or, </w:t>
            </w:r>
          </w:p>
          <w:p w14:paraId="11A9C997">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the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received as part of </w:t>
            </w:r>
            <w:r>
              <w:rPr>
                <w:rFonts w:hint="default" w:ascii="Times New Roman" w:hAnsi="Times New Roman" w:eastAsia="Times-Italic" w:cs="Times New Roman"/>
                <w:i/>
                <w:iCs/>
                <w:color w:val="000000"/>
                <w:kern w:val="0"/>
                <w:sz w:val="20"/>
                <w:szCs w:val="20"/>
                <w:lang w:val="en-US" w:eastAsia="zh-CN" w:bidi="ar"/>
              </w:rPr>
              <w:t>ltm-Config</w:t>
            </w:r>
            <w:r>
              <w:rPr>
                <w:rFonts w:hint="default" w:ascii="Times New Roman" w:hAnsi="Times New Roman" w:eastAsia="Times-Roman" w:cs="Times New Roman"/>
                <w:color w:val="000000"/>
                <w:kern w:val="0"/>
                <w:sz w:val="20"/>
                <w:szCs w:val="20"/>
                <w:lang w:val="en-US" w:eastAsia="zh-CN" w:bidi="ar"/>
              </w:rPr>
              <w:t xml:space="preserve">: </w:t>
            </w:r>
          </w:p>
          <w:p w14:paraId="1F527015">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4&gt; continue using the configuration used prior to when the inability to comply with the </w:t>
            </w:r>
          </w:p>
          <w:p w14:paraId="5266FA0A">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detected; </w:t>
            </w:r>
          </w:p>
          <w:p w14:paraId="02F3B0DD">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w:t>
            </w:r>
          </w:p>
          <w:p w14:paraId="26B52854">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continue using the configuration used prior to the reception of </w:t>
            </w:r>
            <w:r>
              <w:rPr>
                <w:rFonts w:hint="default" w:ascii="Times New Roman" w:hAnsi="Times New Roman" w:eastAsia="Times-Italic" w:cs="Times New Roman"/>
                <w:i/>
                <w:iCs/>
                <w:color w:val="000000"/>
                <w:kern w:val="0"/>
                <w:sz w:val="20"/>
                <w:szCs w:val="20"/>
                <w:highlight w:val="yellow"/>
                <w:lang w:val="en-US" w:eastAsia="zh-CN" w:bidi="ar"/>
              </w:rPr>
              <w:t>RRCReconfiguration</w:t>
            </w:r>
            <w:r>
              <w:rPr>
                <w:rFonts w:hint="default" w:ascii="Times New Roman" w:hAnsi="Times New Roman" w:eastAsia="Times-Roman" w:cs="Times New Roman"/>
                <w:color w:val="000000"/>
                <w:kern w:val="0"/>
                <w:sz w:val="20"/>
                <w:szCs w:val="20"/>
                <w:highlight w:val="yellow"/>
                <w:lang w:val="en-US" w:eastAsia="zh-CN" w:bidi="ar"/>
              </w:rPr>
              <w:t xml:space="preserve"> message; </w:t>
            </w:r>
          </w:p>
          <w:p w14:paraId="2214BFBD">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AS security has not been activated: </w:t>
            </w:r>
          </w:p>
          <w:p w14:paraId="2355C495">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4&gt; perform the actions upon going to RRC_IDLE as specified in 5.3.11, with release cause 'other' </w:t>
            </w:r>
          </w:p>
          <w:p w14:paraId="2D2F05B5">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if AS security has been activated but SRB2 and at least one DRB or multicast MRB or, for IAB and </w:t>
            </w:r>
          </w:p>
          <w:p w14:paraId="39BD0CE7">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NCR, SRB2, have not been setup: </w:t>
            </w:r>
          </w:p>
          <w:p w14:paraId="5C3C6B7E">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perform the actions upon going to RRC_IDLE as specified in 5.3.11, with release cause 'RRC </w:t>
            </w:r>
          </w:p>
          <w:p w14:paraId="3E9F05D1">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highlight w:val="yellow"/>
                <w:lang w:val="en-US" w:eastAsia="zh-CN" w:bidi="ar"/>
              </w:rPr>
              <w:t>connection failure';</w:t>
            </w:r>
            <w:r>
              <w:rPr>
                <w:rFonts w:hint="default" w:ascii="Times New Roman" w:hAnsi="Times New Roman" w:eastAsia="Times-Roman" w:cs="Times New Roman"/>
                <w:color w:val="000000"/>
                <w:kern w:val="0"/>
                <w:sz w:val="20"/>
                <w:szCs w:val="20"/>
                <w:lang w:val="en-US" w:eastAsia="zh-CN" w:bidi="ar"/>
              </w:rPr>
              <w:t xml:space="preserve"> </w:t>
            </w:r>
          </w:p>
          <w:p w14:paraId="1BB08739">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w:t>
            </w:r>
          </w:p>
          <w:p w14:paraId="0C788094">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initiate the connection re-establishment procedure as specified in 5.3.7, upon which the </w:t>
            </w:r>
          </w:p>
          <w:p w14:paraId="7D2414D8">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highlight w:val="yellow"/>
                <w:lang w:val="en-US" w:eastAsia="zh-CN" w:bidi="ar"/>
              </w:rPr>
              <w:t>reconfiguration procedure ends;</w:t>
            </w:r>
            <w:r>
              <w:rPr>
                <w:rFonts w:hint="default" w:ascii="Times New Roman" w:hAnsi="Times New Roman" w:eastAsia="Times-Roman" w:cs="Times New Roman"/>
                <w:color w:val="000000"/>
                <w:kern w:val="0"/>
                <w:sz w:val="20"/>
                <w:szCs w:val="20"/>
                <w:lang w:val="en-US" w:eastAsia="zh-CN" w:bidi="ar"/>
              </w:rPr>
              <w:t xml:space="preserve"> </w:t>
            </w:r>
          </w:p>
          <w:p w14:paraId="2B8F64D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i/>
                <w:iCs/>
                <w:sz w:val="20"/>
                <w:szCs w:val="22"/>
                <w:vertAlign w:val="baseline"/>
                <w:lang w:val="en-US" w:eastAsia="zh-CN"/>
              </w:rPr>
            </w:pPr>
            <w:r>
              <w:rPr>
                <w:rFonts w:hint="default" w:ascii="Times New Roman" w:hAnsi="Times New Roman" w:cs="Times New Roman"/>
                <w:i/>
                <w:iCs/>
                <w:sz w:val="20"/>
                <w:szCs w:val="20"/>
                <w:vertAlign w:val="baseline"/>
                <w:lang w:val="en-US" w:eastAsia="zh-CN"/>
              </w:rPr>
              <w:t>&lt;omitted&gt;</w:t>
            </w:r>
          </w:p>
        </w:tc>
      </w:tr>
    </w:tbl>
    <w:p w14:paraId="18016F8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For data collection for model training, we think it is a separate procedure from other UE behaviors in connected mode. If the UE cannot perform data collection </w:t>
      </w:r>
      <w:r>
        <w:rPr>
          <w:rFonts w:hint="default" w:ascii="Arial" w:hAnsi="Arial" w:cs="Arial"/>
          <w:sz w:val="20"/>
          <w:szCs w:val="22"/>
          <w:lang w:val="en-US"/>
        </w:rPr>
        <w:t>based on received configuration</w:t>
      </w:r>
      <w:r>
        <w:rPr>
          <w:rFonts w:hint="eastAsia" w:ascii="Arial" w:hAnsi="Arial" w:cs="Arial"/>
          <w:sz w:val="20"/>
          <w:szCs w:val="22"/>
          <w:lang w:val="en-US" w:eastAsia="zh-CN"/>
        </w:rPr>
        <w:t xml:space="preserve">, there is no need to initiate the connection re-establishment procedure or perform the actions upon going to RRC_IDLE, and the other UE behaviors should not be affected and should be performed as usual. </w:t>
      </w:r>
    </w:p>
    <w:p w14:paraId="56A2EB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4: </w:t>
      </w:r>
      <w:r>
        <w:rPr>
          <w:rFonts w:hint="eastAsia" w:ascii="Arial" w:hAnsi="Arial" w:cs="Arial"/>
          <w:b/>
          <w:bCs/>
          <w:sz w:val="20"/>
          <w:szCs w:val="22"/>
          <w:highlight w:val="none"/>
          <w:lang w:val="en-US" w:eastAsia="zh-CN"/>
        </w:rPr>
        <w:t>When the UE can</w:t>
      </w:r>
      <w:r>
        <w:rPr>
          <w:rFonts w:hint="default" w:ascii="Arial" w:hAnsi="Arial" w:cs="Arial"/>
          <w:b/>
          <w:bCs/>
          <w:sz w:val="20"/>
          <w:szCs w:val="22"/>
          <w:highlight w:val="none"/>
          <w:lang w:val="en-US" w:eastAsia="zh-CN"/>
        </w:rPr>
        <w:t>’</w:t>
      </w:r>
      <w:r>
        <w:rPr>
          <w:rFonts w:hint="eastAsia" w:ascii="Arial" w:hAnsi="Arial" w:cs="Arial"/>
          <w:b/>
          <w:bCs/>
          <w:sz w:val="20"/>
          <w:szCs w:val="22"/>
          <w:highlight w:val="none"/>
          <w:lang w:val="en-US" w:eastAsia="zh-CN"/>
        </w:rPr>
        <w:t>t perform data collection for model training based on received configuration, other UE behaviors in connected mode should not be affected.</w:t>
      </w:r>
    </w:p>
    <w:p w14:paraId="297283C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However, we think the network needs to know when the UE cannot perform data collection, e.g. re-configure the UE. Therefore, an indication is needed from UE to network to indicate that the UE cannot perform data collection based on received configuration. Furthermore, the indication can be included in </w:t>
      </w:r>
      <w:r>
        <w:rPr>
          <w:rFonts w:hint="eastAsia" w:ascii="Arial" w:hAnsi="Arial" w:cs="Arial"/>
          <w:i/>
          <w:iCs/>
          <w:sz w:val="20"/>
          <w:szCs w:val="22"/>
          <w:lang w:val="en-US" w:eastAsia="zh-CN"/>
        </w:rPr>
        <w:t xml:space="preserve">RRCReconfigurationComplete </w:t>
      </w:r>
      <w:r>
        <w:rPr>
          <w:rFonts w:hint="eastAsia" w:ascii="Arial" w:hAnsi="Arial" w:cs="Arial"/>
          <w:sz w:val="20"/>
          <w:szCs w:val="22"/>
          <w:lang w:val="en-US" w:eastAsia="zh-CN"/>
        </w:rPr>
        <w:t>message.</w:t>
      </w:r>
    </w:p>
    <w:p w14:paraId="2F19C97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Proposal 5: A</w:t>
      </w:r>
      <w:r>
        <w:rPr>
          <w:rFonts w:hint="default" w:ascii="Arial" w:hAnsi="Arial" w:cs="Arial"/>
          <w:b/>
          <w:bCs/>
          <w:sz w:val="20"/>
          <w:szCs w:val="22"/>
          <w:lang w:val="en-US"/>
        </w:rPr>
        <w:t xml:space="preserve">n indication </w:t>
      </w:r>
      <w:r>
        <w:rPr>
          <w:rFonts w:hint="eastAsia" w:ascii="Arial" w:hAnsi="Arial" w:cs="Arial"/>
          <w:b/>
          <w:bCs/>
          <w:sz w:val="20"/>
          <w:szCs w:val="22"/>
          <w:lang w:val="en-US" w:eastAsia="zh-CN"/>
        </w:rPr>
        <w:t xml:space="preserve">is introduced in </w:t>
      </w:r>
      <w:r>
        <w:rPr>
          <w:rFonts w:hint="eastAsia" w:ascii="Arial" w:hAnsi="Arial" w:cs="Arial"/>
          <w:b/>
          <w:bCs/>
          <w:i/>
          <w:iCs/>
          <w:sz w:val="20"/>
          <w:szCs w:val="22"/>
          <w:lang w:val="en-US" w:eastAsia="zh-CN"/>
        </w:rPr>
        <w:t xml:space="preserve">RRCReconfigurationComplete </w:t>
      </w:r>
      <w:r>
        <w:rPr>
          <w:rFonts w:hint="eastAsia" w:ascii="Arial" w:hAnsi="Arial" w:cs="Arial"/>
          <w:b/>
          <w:bCs/>
          <w:sz w:val="20"/>
          <w:szCs w:val="22"/>
          <w:lang w:val="en-US" w:eastAsia="zh-CN"/>
        </w:rPr>
        <w:t xml:space="preserve">message </w:t>
      </w:r>
      <w:r>
        <w:rPr>
          <w:rFonts w:hint="default" w:ascii="Arial" w:hAnsi="Arial" w:cs="Arial"/>
          <w:b/>
          <w:bCs/>
          <w:sz w:val="20"/>
          <w:szCs w:val="22"/>
          <w:lang w:val="en-US"/>
        </w:rPr>
        <w:t>when UE can’t perform data collection based on received configuration</w:t>
      </w:r>
      <w:r>
        <w:rPr>
          <w:rFonts w:hint="eastAsia" w:ascii="Arial" w:hAnsi="Arial" w:cs="Arial"/>
          <w:b/>
          <w:bCs/>
          <w:sz w:val="20"/>
          <w:szCs w:val="22"/>
          <w:lang w:val="en-US" w:eastAsia="zh-CN"/>
        </w:rPr>
        <w:t>.</w:t>
      </w:r>
    </w:p>
    <w:p w14:paraId="51EA59C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UE-sided model for beam management</w:t>
      </w:r>
      <w:r>
        <w:rPr>
          <w:rFonts w:ascii="Arial" w:hAnsi="Arial" w:eastAsia="宋体" w:cs="Arial"/>
          <w:kern w:val="0"/>
          <w:sz w:val="20"/>
          <w:szCs w:val="20"/>
          <w:lang w:val="en-GB" w:eastAsia="en-US"/>
        </w:rPr>
        <w:t>.</w:t>
      </w:r>
    </w:p>
    <w:p w14:paraId="2359DE00">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Applicable functionality reporting</w:t>
      </w:r>
    </w:p>
    <w:p w14:paraId="7E8111F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1: Both option A and option B can be supported, and how to configure is up to NW implementation. </w:t>
      </w:r>
    </w:p>
    <w:p w14:paraId="26B09D2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i w:val="0"/>
          <w:iCs w:val="0"/>
          <w:sz w:val="20"/>
          <w:szCs w:val="20"/>
          <w:lang w:val="en-US" w:eastAsia="zh-CN"/>
        </w:rPr>
      </w:pPr>
      <w:r>
        <w:rPr>
          <w:rFonts w:hint="eastAsia" w:ascii="Arial" w:hAnsi="Arial" w:cs="Arial"/>
          <w:b/>
          <w:bCs w:val="0"/>
          <w:i w:val="0"/>
          <w:iCs w:val="0"/>
          <w:sz w:val="20"/>
          <w:szCs w:val="20"/>
          <w:lang w:val="en-US" w:eastAsia="zh-CN"/>
        </w:rPr>
        <w:t xml:space="preserve">Proposal 2: If </w:t>
      </w:r>
      <w:r>
        <w:rPr>
          <w:rFonts w:hint="default" w:ascii="Arial" w:hAnsi="Arial" w:cs="Arial"/>
          <w:b/>
          <w:bCs w:val="0"/>
          <w:sz w:val="20"/>
          <w:szCs w:val="20"/>
        </w:rPr>
        <w:t xml:space="preserve">option A is configured in Step 3, </w:t>
      </w:r>
      <w:r>
        <w:rPr>
          <w:rFonts w:hint="eastAsia" w:ascii="Arial" w:hAnsi="Arial" w:cs="Arial"/>
          <w:b/>
          <w:bCs w:val="0"/>
          <w:sz w:val="20"/>
          <w:szCs w:val="20"/>
          <w:lang w:val="en-US" w:eastAsia="zh-CN"/>
        </w:rPr>
        <w:t xml:space="preserve">when the non-applicable functionality reported in step 4 becomes applicable, and the changes are reported to the network via </w:t>
      </w:r>
      <w:r>
        <w:rPr>
          <w:rFonts w:hint="eastAsia" w:ascii="Arial" w:hAnsi="Arial" w:cs="Arial"/>
          <w:b/>
          <w:bCs w:val="0"/>
          <w:i/>
          <w:iCs/>
          <w:sz w:val="20"/>
          <w:szCs w:val="20"/>
          <w:lang w:val="en-US" w:eastAsia="zh-CN"/>
        </w:rPr>
        <w:t>UEAssistanceInformation</w:t>
      </w:r>
      <w:r>
        <w:rPr>
          <w:rFonts w:hint="eastAsia" w:ascii="Arial" w:hAnsi="Arial" w:cs="Arial"/>
          <w:b/>
          <w:bCs w:val="0"/>
          <w:i w:val="0"/>
          <w:iCs w:val="0"/>
          <w:sz w:val="20"/>
          <w:szCs w:val="20"/>
          <w:lang w:val="en-US" w:eastAsia="zh-CN"/>
        </w:rPr>
        <w:t xml:space="preserve"> message, </w:t>
      </w:r>
      <w:r>
        <w:rPr>
          <w:rFonts w:hint="default" w:ascii="Arial" w:hAnsi="Arial" w:cs="Arial"/>
          <w:b/>
          <w:bCs w:val="0"/>
          <w:sz w:val="20"/>
          <w:szCs w:val="20"/>
        </w:rPr>
        <w:t xml:space="preserve">the UE </w:t>
      </w:r>
      <w:r>
        <w:rPr>
          <w:rFonts w:hint="eastAsia" w:ascii="Arial" w:hAnsi="Arial" w:cs="Arial"/>
          <w:b/>
          <w:bCs w:val="0"/>
          <w:sz w:val="20"/>
          <w:szCs w:val="20"/>
          <w:lang w:val="en-US" w:eastAsia="zh-CN"/>
        </w:rPr>
        <w:t xml:space="preserve">cannot </w:t>
      </w:r>
      <w:r>
        <w:rPr>
          <w:rFonts w:hint="default" w:ascii="Arial" w:hAnsi="Arial" w:cs="Arial"/>
          <w:b/>
          <w:bCs w:val="0"/>
          <w:sz w:val="20"/>
          <w:szCs w:val="20"/>
        </w:rPr>
        <w:t>autonomously activate the applicable functionalities for periodic CSI reporting</w:t>
      </w:r>
      <w:r>
        <w:rPr>
          <w:rFonts w:hint="eastAsia" w:ascii="Arial" w:hAnsi="Arial" w:cs="Arial"/>
          <w:b/>
          <w:bCs w:val="0"/>
          <w:sz w:val="20"/>
          <w:szCs w:val="20"/>
          <w:lang w:val="en-US" w:eastAsia="zh-CN"/>
        </w:rPr>
        <w:t>.</w:t>
      </w:r>
      <w:r>
        <w:rPr>
          <w:rFonts w:hint="default" w:ascii="Arial" w:hAnsi="Arial" w:cs="Arial"/>
          <w:b w:val="0"/>
          <w:bCs/>
          <w:sz w:val="20"/>
          <w:szCs w:val="20"/>
        </w:rPr>
        <w:t xml:space="preserve"> </w:t>
      </w:r>
    </w:p>
    <w:p w14:paraId="14F42F5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Proposal 3: The explicit cause is not needed within the applicability/inapplicability reporting.</w:t>
      </w:r>
    </w:p>
    <w:p w14:paraId="01F9015C">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Data collection</w:t>
      </w:r>
    </w:p>
    <w:p w14:paraId="3D2FF14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4: </w:t>
      </w:r>
      <w:r>
        <w:rPr>
          <w:rFonts w:hint="eastAsia" w:ascii="Arial" w:hAnsi="Arial" w:cs="Arial"/>
          <w:b/>
          <w:bCs/>
          <w:sz w:val="20"/>
          <w:szCs w:val="22"/>
          <w:highlight w:val="none"/>
          <w:lang w:val="en-US" w:eastAsia="zh-CN"/>
        </w:rPr>
        <w:t>When the UE can</w:t>
      </w:r>
      <w:r>
        <w:rPr>
          <w:rFonts w:hint="default" w:ascii="Arial" w:hAnsi="Arial" w:cs="Arial"/>
          <w:b/>
          <w:bCs/>
          <w:sz w:val="20"/>
          <w:szCs w:val="22"/>
          <w:highlight w:val="none"/>
          <w:lang w:val="en-US" w:eastAsia="zh-CN"/>
        </w:rPr>
        <w:t>’</w:t>
      </w:r>
      <w:r>
        <w:rPr>
          <w:rFonts w:hint="eastAsia" w:ascii="Arial" w:hAnsi="Arial" w:cs="Arial"/>
          <w:b/>
          <w:bCs/>
          <w:sz w:val="20"/>
          <w:szCs w:val="22"/>
          <w:highlight w:val="none"/>
          <w:lang w:val="en-US" w:eastAsia="zh-CN"/>
        </w:rPr>
        <w:t>t perform data collection for model training based on received configuration, other UE behaviors in connected mode should not be affected.</w:t>
      </w:r>
    </w:p>
    <w:p w14:paraId="547E89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Proposal 5: A</w:t>
      </w:r>
      <w:r>
        <w:rPr>
          <w:rFonts w:hint="default" w:ascii="Arial" w:hAnsi="Arial" w:cs="Arial"/>
          <w:b/>
          <w:bCs/>
          <w:sz w:val="20"/>
          <w:szCs w:val="22"/>
          <w:lang w:val="en-US"/>
        </w:rPr>
        <w:t xml:space="preserve">n indication </w:t>
      </w:r>
      <w:r>
        <w:rPr>
          <w:rFonts w:hint="eastAsia" w:ascii="Arial" w:hAnsi="Arial" w:cs="Arial"/>
          <w:b/>
          <w:bCs/>
          <w:sz w:val="20"/>
          <w:szCs w:val="22"/>
          <w:lang w:val="en-US" w:eastAsia="zh-CN"/>
        </w:rPr>
        <w:t xml:space="preserve">is introduced in </w:t>
      </w:r>
      <w:r>
        <w:rPr>
          <w:rFonts w:hint="eastAsia" w:ascii="Arial" w:hAnsi="Arial" w:cs="Arial"/>
          <w:b/>
          <w:bCs/>
          <w:i/>
          <w:iCs/>
          <w:sz w:val="20"/>
          <w:szCs w:val="22"/>
          <w:lang w:val="en-US" w:eastAsia="zh-CN"/>
        </w:rPr>
        <w:t xml:space="preserve">RRCReconfigurationComplete </w:t>
      </w:r>
      <w:r>
        <w:rPr>
          <w:rFonts w:hint="eastAsia" w:ascii="Arial" w:hAnsi="Arial" w:cs="Arial"/>
          <w:b/>
          <w:bCs/>
          <w:sz w:val="20"/>
          <w:szCs w:val="22"/>
          <w:lang w:val="en-US" w:eastAsia="zh-CN"/>
        </w:rPr>
        <w:t xml:space="preserve">message </w:t>
      </w:r>
      <w:r>
        <w:rPr>
          <w:rFonts w:hint="default" w:ascii="Arial" w:hAnsi="Arial" w:cs="Arial"/>
          <w:b/>
          <w:bCs/>
          <w:sz w:val="20"/>
          <w:szCs w:val="22"/>
          <w:lang w:val="en-US"/>
        </w:rPr>
        <w:t>when UE can’t perform data collection based on received configuration</w:t>
      </w:r>
      <w:r>
        <w:rPr>
          <w:rFonts w:hint="eastAsia" w:ascii="Arial" w:hAnsi="Arial" w:cs="Arial"/>
          <w:b/>
          <w:bCs/>
          <w:sz w:val="20"/>
          <w:szCs w:val="22"/>
          <w:lang w:val="en-US" w:eastAsia="zh-CN"/>
        </w:rPr>
        <w:t>.</w:t>
      </w:r>
    </w:p>
    <w:p w14:paraId="7F465D1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399B016">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9</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3</w:t>
      </w:r>
    </w:p>
    <w:p w14:paraId="7850C9C2">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R1-2410898 Reply LS on applicable functionality reporting for beam management UE-sided model</w:t>
      </w:r>
    </w:p>
    <w:p w14:paraId="5607344D">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w:t>
      </w:r>
      <w:r>
        <w:rPr>
          <w:rFonts w:hint="eastAsia" w:ascii="Arial" w:hAnsi="Arial" w:eastAsia="宋体" w:cs="Arial"/>
          <w:kern w:val="0"/>
          <w:sz w:val="20"/>
          <w:szCs w:val="20"/>
          <w:lang w:val="en-US" w:eastAsia="zh-CN"/>
        </w:rPr>
        <w:t>S</w:t>
      </w:r>
      <w:r>
        <w:rPr>
          <w:rFonts w:hint="eastAsia" w:ascii="Arial" w:hAnsi="Arial" w:eastAsia="宋体" w:cs="Arial"/>
          <w:kern w:val="0"/>
          <w:sz w:val="20"/>
          <w:szCs w:val="20"/>
        </w:rPr>
        <w:t xml:space="preserve"> 38.</w:t>
      </w:r>
      <w:r>
        <w:rPr>
          <w:rFonts w:hint="eastAsia" w:ascii="Arial" w:hAnsi="Arial" w:eastAsia="宋体" w:cs="Arial"/>
          <w:kern w:val="0"/>
          <w:sz w:val="20"/>
          <w:szCs w:val="20"/>
          <w:lang w:val="en-US" w:eastAsia="zh-CN"/>
        </w:rPr>
        <w:t>331</w:t>
      </w:r>
      <w:r>
        <w:rPr>
          <w:rFonts w:hint="eastAsia" w:ascii="Arial" w:hAnsi="Arial" w:eastAsia="宋体" w:cs="Arial"/>
          <w:kern w:val="0"/>
          <w:sz w:val="20"/>
          <w:szCs w:val="20"/>
        </w:rPr>
        <w:t xml:space="preserve"> NR; Radio Resource Control (RRC)</w:t>
      </w:r>
      <w:r>
        <w:rPr>
          <w:rFonts w:hint="eastAsia" w:ascii="Arial" w:hAnsi="Arial" w:eastAsia="宋体" w:cs="Arial"/>
          <w:kern w:val="0"/>
          <w:sz w:val="20"/>
          <w:szCs w:val="20"/>
          <w:lang w:val="en-US" w:eastAsia="zh-CN"/>
        </w:rPr>
        <w:t xml:space="preserve">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5BFC153E"/>
    <w:multiLevelType w:val="multilevel"/>
    <w:tmpl w:val="5BFC153E"/>
    <w:lvl w:ilvl="0" w:tentative="0">
      <w:start w:val="1"/>
      <w:numFmt w:val="bullet"/>
      <w:lvlText w:val="•"/>
      <w:lvlJc w:val="left"/>
      <w:pPr>
        <w:tabs>
          <w:tab w:val="left" w:pos="360"/>
        </w:tabs>
        <w:ind w:left="360" w:hanging="360"/>
      </w:pPr>
      <w:rPr>
        <w:rFonts w:hint="default" w:ascii="Arial" w:hAnsi="Arial" w:cs="Times New Roman"/>
      </w:rPr>
    </w:lvl>
    <w:lvl w:ilvl="1" w:tentative="0">
      <w:start w:val="1"/>
      <w:numFmt w:val="bullet"/>
      <w:lvlText w:val="o"/>
      <w:lvlJc w:val="left"/>
      <w:pPr>
        <w:ind w:left="1440" w:hanging="360"/>
      </w:pPr>
      <w:rPr>
        <w:rFonts w:hint="default" w:ascii="Courier New" w:hAnsi="Courier New" w:cs="Courier New"/>
        <w:strike w:val="0"/>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color w:val="auto"/>
      </w:rPr>
    </w:lvl>
    <w:lvl w:ilvl="4" w:tentative="0">
      <w:start w:val="1"/>
      <w:numFmt w:val="bullet"/>
      <w:lvlText w:val="o"/>
      <w:lvlJc w:val="left"/>
      <w:pPr>
        <w:ind w:left="3600" w:hanging="360"/>
      </w:pPr>
      <w:rPr>
        <w:rFonts w:hint="default" w:ascii="Courier New" w:hAnsi="Courier New" w:cs="Courier New"/>
        <w:strike w:val="0"/>
        <w:color w:val="auto"/>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8C22F08"/>
    <w:multiLevelType w:val="multilevel"/>
    <w:tmpl w:val="68C22F08"/>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4"/>
  </w:num>
  <w:num w:numId="6">
    <w:abstractNumId w:val="6"/>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8844D8"/>
    <w:rsid w:val="05A625A8"/>
    <w:rsid w:val="05AD7C3D"/>
    <w:rsid w:val="05B81468"/>
    <w:rsid w:val="05B92B80"/>
    <w:rsid w:val="05CC288F"/>
    <w:rsid w:val="05FB3716"/>
    <w:rsid w:val="061355E6"/>
    <w:rsid w:val="064F5C41"/>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024FC"/>
    <w:rsid w:val="08D80E0C"/>
    <w:rsid w:val="09085B92"/>
    <w:rsid w:val="09143645"/>
    <w:rsid w:val="093223D0"/>
    <w:rsid w:val="09414F75"/>
    <w:rsid w:val="094470AB"/>
    <w:rsid w:val="09524E60"/>
    <w:rsid w:val="09554A11"/>
    <w:rsid w:val="095A6DFD"/>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B350F"/>
    <w:rsid w:val="0ADE2342"/>
    <w:rsid w:val="0AE21792"/>
    <w:rsid w:val="0AF33383"/>
    <w:rsid w:val="0AFA4AC7"/>
    <w:rsid w:val="0AFD0EBC"/>
    <w:rsid w:val="0B054A96"/>
    <w:rsid w:val="0B11078A"/>
    <w:rsid w:val="0B1B28B6"/>
    <w:rsid w:val="0B7B639C"/>
    <w:rsid w:val="0B7E67EB"/>
    <w:rsid w:val="0B96175E"/>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9321EB"/>
    <w:rsid w:val="0EAF327B"/>
    <w:rsid w:val="0ECE6830"/>
    <w:rsid w:val="0F1D748A"/>
    <w:rsid w:val="0F3701CB"/>
    <w:rsid w:val="0F4E079B"/>
    <w:rsid w:val="0F732504"/>
    <w:rsid w:val="0F782620"/>
    <w:rsid w:val="0F8A7784"/>
    <w:rsid w:val="0F8C51E0"/>
    <w:rsid w:val="0FA82F44"/>
    <w:rsid w:val="0FC803F4"/>
    <w:rsid w:val="10090A65"/>
    <w:rsid w:val="1052615E"/>
    <w:rsid w:val="105502AF"/>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51FAA"/>
    <w:rsid w:val="12A73823"/>
    <w:rsid w:val="12B04029"/>
    <w:rsid w:val="12BD5E5F"/>
    <w:rsid w:val="12DA4242"/>
    <w:rsid w:val="130A48C3"/>
    <w:rsid w:val="132209C2"/>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2B4878"/>
    <w:rsid w:val="15360ADA"/>
    <w:rsid w:val="154A66B0"/>
    <w:rsid w:val="156326F0"/>
    <w:rsid w:val="159C7EDD"/>
    <w:rsid w:val="15BE553B"/>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A31984"/>
    <w:rsid w:val="19C51AEA"/>
    <w:rsid w:val="19CE1BFF"/>
    <w:rsid w:val="19D951ED"/>
    <w:rsid w:val="1A1C0B7B"/>
    <w:rsid w:val="1A323A0D"/>
    <w:rsid w:val="1A40430B"/>
    <w:rsid w:val="1A4C49E1"/>
    <w:rsid w:val="1A7D140B"/>
    <w:rsid w:val="1A9A126F"/>
    <w:rsid w:val="1AA4601E"/>
    <w:rsid w:val="1AB6495E"/>
    <w:rsid w:val="1ABB3621"/>
    <w:rsid w:val="1ABF7C53"/>
    <w:rsid w:val="1ADE6206"/>
    <w:rsid w:val="1AE7452F"/>
    <w:rsid w:val="1B073464"/>
    <w:rsid w:val="1B176DAE"/>
    <w:rsid w:val="1B5E2B2B"/>
    <w:rsid w:val="1B724BD8"/>
    <w:rsid w:val="1B9E2247"/>
    <w:rsid w:val="1BB22919"/>
    <w:rsid w:val="1BE31A70"/>
    <w:rsid w:val="1BF91505"/>
    <w:rsid w:val="1BFC2067"/>
    <w:rsid w:val="1C064DE2"/>
    <w:rsid w:val="1C263D41"/>
    <w:rsid w:val="1C6673DB"/>
    <w:rsid w:val="1C6A1BB2"/>
    <w:rsid w:val="1C726F5B"/>
    <w:rsid w:val="1C7B60E4"/>
    <w:rsid w:val="1C87732E"/>
    <w:rsid w:val="1CC529AF"/>
    <w:rsid w:val="1CC914E2"/>
    <w:rsid w:val="1CD81789"/>
    <w:rsid w:val="1D010DCC"/>
    <w:rsid w:val="1D031FA5"/>
    <w:rsid w:val="1D1D27D2"/>
    <w:rsid w:val="1D4D1FA4"/>
    <w:rsid w:val="1D700D25"/>
    <w:rsid w:val="1DA1677A"/>
    <w:rsid w:val="1DA90A2F"/>
    <w:rsid w:val="1DB26D48"/>
    <w:rsid w:val="1DC07338"/>
    <w:rsid w:val="1DCD1090"/>
    <w:rsid w:val="1DE35696"/>
    <w:rsid w:val="1DE55E1B"/>
    <w:rsid w:val="1DEA2636"/>
    <w:rsid w:val="1E015BFF"/>
    <w:rsid w:val="1E0717B3"/>
    <w:rsid w:val="1E261FEC"/>
    <w:rsid w:val="1E5D014C"/>
    <w:rsid w:val="1E5E36D4"/>
    <w:rsid w:val="1E625159"/>
    <w:rsid w:val="1E6C052F"/>
    <w:rsid w:val="1E8017FF"/>
    <w:rsid w:val="1E8A1312"/>
    <w:rsid w:val="1EB31B66"/>
    <w:rsid w:val="1EB529F8"/>
    <w:rsid w:val="1EBC2F21"/>
    <w:rsid w:val="1EDA06DF"/>
    <w:rsid w:val="1EE73F05"/>
    <w:rsid w:val="1EF17AB3"/>
    <w:rsid w:val="1EFA50FC"/>
    <w:rsid w:val="1F1E6BD2"/>
    <w:rsid w:val="1F1F4D17"/>
    <w:rsid w:val="1F27275C"/>
    <w:rsid w:val="1F8A3BD5"/>
    <w:rsid w:val="1FE63CE8"/>
    <w:rsid w:val="200C0B38"/>
    <w:rsid w:val="201646B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504BC5"/>
    <w:rsid w:val="27743E5C"/>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B83A4F"/>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D85F0E"/>
    <w:rsid w:val="2DDB7482"/>
    <w:rsid w:val="2DF144D1"/>
    <w:rsid w:val="2DFB6036"/>
    <w:rsid w:val="2E2A6622"/>
    <w:rsid w:val="2E3472AB"/>
    <w:rsid w:val="2E3D031C"/>
    <w:rsid w:val="2E457026"/>
    <w:rsid w:val="2E84052F"/>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3055B5"/>
    <w:rsid w:val="324D2FF7"/>
    <w:rsid w:val="32513A45"/>
    <w:rsid w:val="325748A5"/>
    <w:rsid w:val="32B50B2C"/>
    <w:rsid w:val="32B819E9"/>
    <w:rsid w:val="32C84DFE"/>
    <w:rsid w:val="32FA3DAF"/>
    <w:rsid w:val="332122CC"/>
    <w:rsid w:val="332D5F33"/>
    <w:rsid w:val="3337740D"/>
    <w:rsid w:val="334D0383"/>
    <w:rsid w:val="337F1035"/>
    <w:rsid w:val="33805DA1"/>
    <w:rsid w:val="338C56E4"/>
    <w:rsid w:val="33934B2E"/>
    <w:rsid w:val="339441CF"/>
    <w:rsid w:val="33974050"/>
    <w:rsid w:val="33C37075"/>
    <w:rsid w:val="33F14779"/>
    <w:rsid w:val="34062C68"/>
    <w:rsid w:val="341C738A"/>
    <w:rsid w:val="344D2E50"/>
    <w:rsid w:val="345D2AE7"/>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E123E"/>
    <w:rsid w:val="354F2AD2"/>
    <w:rsid w:val="35566C29"/>
    <w:rsid w:val="359652C0"/>
    <w:rsid w:val="35A9661A"/>
    <w:rsid w:val="35AF552A"/>
    <w:rsid w:val="35C36B07"/>
    <w:rsid w:val="35C60438"/>
    <w:rsid w:val="35EB5C31"/>
    <w:rsid w:val="360D6591"/>
    <w:rsid w:val="361E2AEF"/>
    <w:rsid w:val="361F2C5E"/>
    <w:rsid w:val="363976F7"/>
    <w:rsid w:val="36681B72"/>
    <w:rsid w:val="366B38CD"/>
    <w:rsid w:val="366E68DA"/>
    <w:rsid w:val="367C622B"/>
    <w:rsid w:val="36BD137C"/>
    <w:rsid w:val="36E02E58"/>
    <w:rsid w:val="36F84B57"/>
    <w:rsid w:val="3720190B"/>
    <w:rsid w:val="37293C39"/>
    <w:rsid w:val="37391765"/>
    <w:rsid w:val="3751494E"/>
    <w:rsid w:val="37577E3D"/>
    <w:rsid w:val="375A24EA"/>
    <w:rsid w:val="37757EA8"/>
    <w:rsid w:val="3784494C"/>
    <w:rsid w:val="37BC00E4"/>
    <w:rsid w:val="37C859C7"/>
    <w:rsid w:val="37D62F7A"/>
    <w:rsid w:val="37E40AE8"/>
    <w:rsid w:val="37FF0329"/>
    <w:rsid w:val="3801173C"/>
    <w:rsid w:val="38060F79"/>
    <w:rsid w:val="381A150A"/>
    <w:rsid w:val="38260B47"/>
    <w:rsid w:val="384E5649"/>
    <w:rsid w:val="38746ABC"/>
    <w:rsid w:val="38761BD7"/>
    <w:rsid w:val="3876347B"/>
    <w:rsid w:val="388D15D1"/>
    <w:rsid w:val="38A710B1"/>
    <w:rsid w:val="38AE69D5"/>
    <w:rsid w:val="38E92BBD"/>
    <w:rsid w:val="38FC0060"/>
    <w:rsid w:val="38FC32F5"/>
    <w:rsid w:val="38FD17EE"/>
    <w:rsid w:val="39030A9D"/>
    <w:rsid w:val="39113643"/>
    <w:rsid w:val="39193D2F"/>
    <w:rsid w:val="392C4597"/>
    <w:rsid w:val="396866FD"/>
    <w:rsid w:val="397E03C2"/>
    <w:rsid w:val="39AF07AB"/>
    <w:rsid w:val="39BB3AC3"/>
    <w:rsid w:val="39D37108"/>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6B032B"/>
    <w:rsid w:val="3D700956"/>
    <w:rsid w:val="3D9214B7"/>
    <w:rsid w:val="3DB23DD9"/>
    <w:rsid w:val="3DBB2FF1"/>
    <w:rsid w:val="3DD8335F"/>
    <w:rsid w:val="3DF57F08"/>
    <w:rsid w:val="3E143052"/>
    <w:rsid w:val="3E3363C7"/>
    <w:rsid w:val="3E390C78"/>
    <w:rsid w:val="3E3B7B31"/>
    <w:rsid w:val="3E500D27"/>
    <w:rsid w:val="3E573ADE"/>
    <w:rsid w:val="3E823552"/>
    <w:rsid w:val="3EA55E90"/>
    <w:rsid w:val="3EB2553E"/>
    <w:rsid w:val="3ECD0998"/>
    <w:rsid w:val="3ED508CA"/>
    <w:rsid w:val="3EE61158"/>
    <w:rsid w:val="3F1109BC"/>
    <w:rsid w:val="3F1B7587"/>
    <w:rsid w:val="3F805B16"/>
    <w:rsid w:val="3FA42170"/>
    <w:rsid w:val="3FAF36DB"/>
    <w:rsid w:val="405759DA"/>
    <w:rsid w:val="406A14B3"/>
    <w:rsid w:val="407C15D8"/>
    <w:rsid w:val="409D1B0D"/>
    <w:rsid w:val="40DA4CF0"/>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8704C4"/>
    <w:rsid w:val="42C70708"/>
    <w:rsid w:val="42E0254C"/>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E22B61"/>
    <w:rsid w:val="44031DB9"/>
    <w:rsid w:val="440700DA"/>
    <w:rsid w:val="44166A5A"/>
    <w:rsid w:val="44320857"/>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60A0745"/>
    <w:rsid w:val="46190E27"/>
    <w:rsid w:val="462128E4"/>
    <w:rsid w:val="46300B95"/>
    <w:rsid w:val="463A3C1C"/>
    <w:rsid w:val="46552F9B"/>
    <w:rsid w:val="466E6ADA"/>
    <w:rsid w:val="46911EDD"/>
    <w:rsid w:val="4699240B"/>
    <w:rsid w:val="469E40F2"/>
    <w:rsid w:val="46B7014A"/>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90DD9"/>
    <w:rsid w:val="486B54EB"/>
    <w:rsid w:val="4887121F"/>
    <w:rsid w:val="48F702B1"/>
    <w:rsid w:val="48FB01B3"/>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B08573B"/>
    <w:rsid w:val="4B626F00"/>
    <w:rsid w:val="4BBD1C23"/>
    <w:rsid w:val="4BC53B5B"/>
    <w:rsid w:val="4BE53FE4"/>
    <w:rsid w:val="4BEB08DE"/>
    <w:rsid w:val="4C340FD6"/>
    <w:rsid w:val="4C4D4AF8"/>
    <w:rsid w:val="4C744BB3"/>
    <w:rsid w:val="4C851F32"/>
    <w:rsid w:val="4C964045"/>
    <w:rsid w:val="4C9C7CA8"/>
    <w:rsid w:val="4CA30A9C"/>
    <w:rsid w:val="4CD70E50"/>
    <w:rsid w:val="4CDB65A8"/>
    <w:rsid w:val="4CE2366D"/>
    <w:rsid w:val="4CF51418"/>
    <w:rsid w:val="4D010671"/>
    <w:rsid w:val="4D0526DC"/>
    <w:rsid w:val="4D2812FA"/>
    <w:rsid w:val="4D316B33"/>
    <w:rsid w:val="4D352FBB"/>
    <w:rsid w:val="4D537464"/>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F54231"/>
    <w:rsid w:val="5001585D"/>
    <w:rsid w:val="50077447"/>
    <w:rsid w:val="50092979"/>
    <w:rsid w:val="502F4C40"/>
    <w:rsid w:val="50343739"/>
    <w:rsid w:val="50623802"/>
    <w:rsid w:val="50652E94"/>
    <w:rsid w:val="50665370"/>
    <w:rsid w:val="508700F4"/>
    <w:rsid w:val="50A970CD"/>
    <w:rsid w:val="50C72D83"/>
    <w:rsid w:val="50EC664D"/>
    <w:rsid w:val="50F25C6E"/>
    <w:rsid w:val="51031D50"/>
    <w:rsid w:val="5163596F"/>
    <w:rsid w:val="51642065"/>
    <w:rsid w:val="516F0D03"/>
    <w:rsid w:val="51895F2D"/>
    <w:rsid w:val="51A0460E"/>
    <w:rsid w:val="51A60230"/>
    <w:rsid w:val="51A823AB"/>
    <w:rsid w:val="51B84F57"/>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C3017"/>
    <w:rsid w:val="530F2B4C"/>
    <w:rsid w:val="53144C5A"/>
    <w:rsid w:val="532E36AE"/>
    <w:rsid w:val="534327B1"/>
    <w:rsid w:val="53AE0CB6"/>
    <w:rsid w:val="53D170F4"/>
    <w:rsid w:val="53D55AFF"/>
    <w:rsid w:val="541C5C72"/>
    <w:rsid w:val="543B6BDD"/>
    <w:rsid w:val="544F1C50"/>
    <w:rsid w:val="54606A92"/>
    <w:rsid w:val="54611A81"/>
    <w:rsid w:val="54DC110F"/>
    <w:rsid w:val="55236751"/>
    <w:rsid w:val="55654739"/>
    <w:rsid w:val="557D655D"/>
    <w:rsid w:val="55846FDD"/>
    <w:rsid w:val="558933C3"/>
    <w:rsid w:val="558B119A"/>
    <w:rsid w:val="55B177EA"/>
    <w:rsid w:val="55CD48C4"/>
    <w:rsid w:val="55EA33B8"/>
    <w:rsid w:val="55F34392"/>
    <w:rsid w:val="560C425A"/>
    <w:rsid w:val="56116B32"/>
    <w:rsid w:val="562365CA"/>
    <w:rsid w:val="56266387"/>
    <w:rsid w:val="56340430"/>
    <w:rsid w:val="563F6CB5"/>
    <w:rsid w:val="564B6FA5"/>
    <w:rsid w:val="56581D59"/>
    <w:rsid w:val="568502CA"/>
    <w:rsid w:val="5698486D"/>
    <w:rsid w:val="56A874FB"/>
    <w:rsid w:val="56AA23A1"/>
    <w:rsid w:val="56B0773B"/>
    <w:rsid w:val="56C254B7"/>
    <w:rsid w:val="5709588E"/>
    <w:rsid w:val="571132B6"/>
    <w:rsid w:val="571760EF"/>
    <w:rsid w:val="571F7ADE"/>
    <w:rsid w:val="576C2C58"/>
    <w:rsid w:val="57792910"/>
    <w:rsid w:val="5781180D"/>
    <w:rsid w:val="579F0027"/>
    <w:rsid w:val="57C77D46"/>
    <w:rsid w:val="57CE7F2B"/>
    <w:rsid w:val="57CF4F1B"/>
    <w:rsid w:val="57D065BB"/>
    <w:rsid w:val="58201757"/>
    <w:rsid w:val="58404F46"/>
    <w:rsid w:val="584A67BC"/>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44069A"/>
    <w:rsid w:val="59AD7B0E"/>
    <w:rsid w:val="59B31815"/>
    <w:rsid w:val="59D55070"/>
    <w:rsid w:val="59DA18AC"/>
    <w:rsid w:val="59E065B2"/>
    <w:rsid w:val="59E546A4"/>
    <w:rsid w:val="59FD6E5D"/>
    <w:rsid w:val="5A2F5AF5"/>
    <w:rsid w:val="5A4439EB"/>
    <w:rsid w:val="5A637B38"/>
    <w:rsid w:val="5A8D1386"/>
    <w:rsid w:val="5A93303B"/>
    <w:rsid w:val="5AAB12E9"/>
    <w:rsid w:val="5ABB6C3C"/>
    <w:rsid w:val="5AC815C0"/>
    <w:rsid w:val="5ACD77B4"/>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C1967A5"/>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16DC3"/>
    <w:rsid w:val="5E5867E1"/>
    <w:rsid w:val="5E674F7E"/>
    <w:rsid w:val="5E874CE8"/>
    <w:rsid w:val="5E9224E3"/>
    <w:rsid w:val="5EA50A24"/>
    <w:rsid w:val="5EB00E5C"/>
    <w:rsid w:val="5ECC354A"/>
    <w:rsid w:val="5ED3533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381112"/>
    <w:rsid w:val="615E501E"/>
    <w:rsid w:val="6180773A"/>
    <w:rsid w:val="61811EC4"/>
    <w:rsid w:val="61A06374"/>
    <w:rsid w:val="61CF3DB0"/>
    <w:rsid w:val="622470A5"/>
    <w:rsid w:val="62247F4C"/>
    <w:rsid w:val="622D2FAA"/>
    <w:rsid w:val="625D25EA"/>
    <w:rsid w:val="62857C4E"/>
    <w:rsid w:val="6286607D"/>
    <w:rsid w:val="62A62781"/>
    <w:rsid w:val="62B334AF"/>
    <w:rsid w:val="62E05FC6"/>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2D04CF"/>
    <w:rsid w:val="643F3D04"/>
    <w:rsid w:val="644204E6"/>
    <w:rsid w:val="6448326B"/>
    <w:rsid w:val="64635DFB"/>
    <w:rsid w:val="64642CA5"/>
    <w:rsid w:val="64683A23"/>
    <w:rsid w:val="64942A8F"/>
    <w:rsid w:val="64942E6C"/>
    <w:rsid w:val="64AF3910"/>
    <w:rsid w:val="64BC2C9E"/>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6A2C09"/>
    <w:rsid w:val="6679092A"/>
    <w:rsid w:val="669315AD"/>
    <w:rsid w:val="66BA0E07"/>
    <w:rsid w:val="66BA2385"/>
    <w:rsid w:val="66BC293A"/>
    <w:rsid w:val="66DB09CF"/>
    <w:rsid w:val="66E96680"/>
    <w:rsid w:val="66F227B6"/>
    <w:rsid w:val="67237A0F"/>
    <w:rsid w:val="67487CFE"/>
    <w:rsid w:val="67695728"/>
    <w:rsid w:val="677038E2"/>
    <w:rsid w:val="677777A9"/>
    <w:rsid w:val="67B43783"/>
    <w:rsid w:val="67B92A72"/>
    <w:rsid w:val="67D547C2"/>
    <w:rsid w:val="67DE00D5"/>
    <w:rsid w:val="67FA0E09"/>
    <w:rsid w:val="680147C8"/>
    <w:rsid w:val="68075EA1"/>
    <w:rsid w:val="681B5C83"/>
    <w:rsid w:val="68233F9E"/>
    <w:rsid w:val="68277A88"/>
    <w:rsid w:val="686831F8"/>
    <w:rsid w:val="6889198F"/>
    <w:rsid w:val="68922214"/>
    <w:rsid w:val="689340A3"/>
    <w:rsid w:val="68A12E72"/>
    <w:rsid w:val="68DC73EC"/>
    <w:rsid w:val="690309F9"/>
    <w:rsid w:val="69054B5C"/>
    <w:rsid w:val="69063DA7"/>
    <w:rsid w:val="69112ACB"/>
    <w:rsid w:val="69293200"/>
    <w:rsid w:val="694347AF"/>
    <w:rsid w:val="694F06EB"/>
    <w:rsid w:val="6963607F"/>
    <w:rsid w:val="696403F8"/>
    <w:rsid w:val="69766916"/>
    <w:rsid w:val="698D63CB"/>
    <w:rsid w:val="698F77F4"/>
    <w:rsid w:val="69A20335"/>
    <w:rsid w:val="69A47FD7"/>
    <w:rsid w:val="69B23B9D"/>
    <w:rsid w:val="69BD4C13"/>
    <w:rsid w:val="69E82867"/>
    <w:rsid w:val="69EA1A31"/>
    <w:rsid w:val="6A065327"/>
    <w:rsid w:val="6A086F70"/>
    <w:rsid w:val="6A323DA1"/>
    <w:rsid w:val="6A473411"/>
    <w:rsid w:val="6A540655"/>
    <w:rsid w:val="6A5B510D"/>
    <w:rsid w:val="6A875963"/>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56491E"/>
    <w:rsid w:val="6C5B64F3"/>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DFB76C0"/>
    <w:rsid w:val="6E032FC6"/>
    <w:rsid w:val="6E083615"/>
    <w:rsid w:val="6E0D26B4"/>
    <w:rsid w:val="6E360FB8"/>
    <w:rsid w:val="6E44084F"/>
    <w:rsid w:val="6E4F3DA5"/>
    <w:rsid w:val="6E6F0BB4"/>
    <w:rsid w:val="6E6F1D57"/>
    <w:rsid w:val="6E7A62E4"/>
    <w:rsid w:val="6E9D2927"/>
    <w:rsid w:val="6EB25B0B"/>
    <w:rsid w:val="6EB80BA0"/>
    <w:rsid w:val="6EB84B4A"/>
    <w:rsid w:val="6ED37D90"/>
    <w:rsid w:val="6F00046B"/>
    <w:rsid w:val="6F065AB6"/>
    <w:rsid w:val="6F154D35"/>
    <w:rsid w:val="6F186262"/>
    <w:rsid w:val="6F1D5B72"/>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163D8"/>
    <w:rsid w:val="7067165B"/>
    <w:rsid w:val="706B4405"/>
    <w:rsid w:val="707E12D6"/>
    <w:rsid w:val="70801B07"/>
    <w:rsid w:val="709A7A5C"/>
    <w:rsid w:val="70A1406F"/>
    <w:rsid w:val="70AA6593"/>
    <w:rsid w:val="70B0465E"/>
    <w:rsid w:val="70CE3E98"/>
    <w:rsid w:val="70FE623D"/>
    <w:rsid w:val="715B3C2A"/>
    <w:rsid w:val="717A163C"/>
    <w:rsid w:val="71803C89"/>
    <w:rsid w:val="718D6ECB"/>
    <w:rsid w:val="71994E64"/>
    <w:rsid w:val="71C151DC"/>
    <w:rsid w:val="71CA7676"/>
    <w:rsid w:val="71E05943"/>
    <w:rsid w:val="71E616D5"/>
    <w:rsid w:val="71EA7695"/>
    <w:rsid w:val="71EE7FB9"/>
    <w:rsid w:val="72263DC5"/>
    <w:rsid w:val="72536FDC"/>
    <w:rsid w:val="726054D6"/>
    <w:rsid w:val="72697CC3"/>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2A2B73"/>
    <w:rsid w:val="743C5C12"/>
    <w:rsid w:val="74412921"/>
    <w:rsid w:val="745744B6"/>
    <w:rsid w:val="7475710D"/>
    <w:rsid w:val="747621BD"/>
    <w:rsid w:val="74A71E5E"/>
    <w:rsid w:val="75061B64"/>
    <w:rsid w:val="75086A21"/>
    <w:rsid w:val="750B356A"/>
    <w:rsid w:val="750C4DDC"/>
    <w:rsid w:val="7510569F"/>
    <w:rsid w:val="751073F6"/>
    <w:rsid w:val="756950CA"/>
    <w:rsid w:val="75922EAF"/>
    <w:rsid w:val="75AD28A1"/>
    <w:rsid w:val="75C224B9"/>
    <w:rsid w:val="75FB7A70"/>
    <w:rsid w:val="76013E56"/>
    <w:rsid w:val="760A7D9D"/>
    <w:rsid w:val="76335855"/>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3F3897"/>
    <w:rsid w:val="797167CA"/>
    <w:rsid w:val="798E4E1E"/>
    <w:rsid w:val="799E2AB3"/>
    <w:rsid w:val="79A37A59"/>
    <w:rsid w:val="79C61A14"/>
    <w:rsid w:val="79C85435"/>
    <w:rsid w:val="79D16AD3"/>
    <w:rsid w:val="79EE5B89"/>
    <w:rsid w:val="79F05A1B"/>
    <w:rsid w:val="7A020CA3"/>
    <w:rsid w:val="7A067805"/>
    <w:rsid w:val="7A181B27"/>
    <w:rsid w:val="7A496479"/>
    <w:rsid w:val="7A9F4CE9"/>
    <w:rsid w:val="7AA408FA"/>
    <w:rsid w:val="7AC34D04"/>
    <w:rsid w:val="7AD60288"/>
    <w:rsid w:val="7B123707"/>
    <w:rsid w:val="7B236D19"/>
    <w:rsid w:val="7B307625"/>
    <w:rsid w:val="7B347CEC"/>
    <w:rsid w:val="7B576B4E"/>
    <w:rsid w:val="7B761608"/>
    <w:rsid w:val="7B87133C"/>
    <w:rsid w:val="7BBF721F"/>
    <w:rsid w:val="7C105077"/>
    <w:rsid w:val="7C416F95"/>
    <w:rsid w:val="7C4170FF"/>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DFA4230"/>
    <w:rsid w:val="7E077DCE"/>
    <w:rsid w:val="7E4B1AB3"/>
    <w:rsid w:val="7E58216F"/>
    <w:rsid w:val="7E58478A"/>
    <w:rsid w:val="7E70415D"/>
    <w:rsid w:val="7E7F1745"/>
    <w:rsid w:val="7E886BD8"/>
    <w:rsid w:val="7E922F1E"/>
    <w:rsid w:val="7E9C1A45"/>
    <w:rsid w:val="7ECF78F0"/>
    <w:rsid w:val="7EEF7176"/>
    <w:rsid w:val="7F356E88"/>
    <w:rsid w:val="7F5D7752"/>
    <w:rsid w:val="7F7777D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 w:type="paragraph" w:customStyle="1" w:styleId="39">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1882</Words>
  <Characters>10795</Characters>
  <Lines>49</Lines>
  <Paragraphs>13</Paragraphs>
  <TotalTime>7</TotalTime>
  <ScaleCrop>false</ScaleCrop>
  <LinksUpToDate>false</LinksUpToDate>
  <CharactersWithSpaces>12651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2025-03-28T06:09:27Z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6015193F179645FDAAE285FE48131DD5_13</vt:lpwstr>
  </property>
  <property fmtid="{D5CDD505-2E9C-101B-9397-08002B2CF9AE}" pid="4" name="KSOTemplateDocerSaveRecord">
    <vt:lpwstr>eyJoZGlkIjoiMzEwNTM5NzYwMDRjMzkwZTVkZjY2ODkwMGIxNGU0OTUiLCJ1c2VySWQiOiI1MDQ0ODU3MTMifQ==</vt:lpwstr>
  </property>
</Properties>
</file>